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3801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bookmarkStart w:id="1" w:name="_GoBack"/>
      <w:r>
        <w:rPr>
          <w:rFonts w:hint="eastAsia" w:ascii="华文中宋" w:hAnsi="华文中宋" w:eastAsia="华文中宋" w:cs="华文中宋"/>
          <w:b/>
          <w:bCs/>
          <w:sz w:val="28"/>
          <w:szCs w:val="28"/>
        </w:rPr>
        <w:t>从“地蛋哥”到“草莓君”——</w:t>
      </w:r>
      <w:bookmarkStart w:id="0" w:name="OLE_LINK1"/>
      <w:r>
        <w:rPr>
          <w:rFonts w:hint="eastAsia" w:ascii="华文中宋" w:hAnsi="华文中宋" w:eastAsia="华文中宋" w:cs="华文中宋"/>
          <w:b/>
          <w:bCs/>
          <w:sz w:val="28"/>
          <w:szCs w:val="28"/>
        </w:rPr>
        <w:t>省级地面频道垂类驱动媒体融合</w:t>
      </w:r>
      <w:bookmarkEnd w:id="0"/>
    </w:p>
    <w:p w14:paraId="4FC2F63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转型路径探析</w:t>
      </w:r>
    </w:p>
    <w:p w14:paraId="47E1D78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1"/>
          <w:szCs w:val="21"/>
        </w:rPr>
      </w:pPr>
    </w:p>
    <w:p w14:paraId="3B436EA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cstheme="minorEastAsia"/>
          <w:b/>
          <w:bCs/>
          <w:sz w:val="21"/>
          <w:szCs w:val="21"/>
          <w:lang w:val="en-US" w:eastAsia="zh-CN"/>
        </w:rPr>
        <w:t>摘要</w:t>
      </w:r>
      <w:r>
        <w:rPr>
          <w:rFonts w:hint="eastAsia" w:asciiTheme="minorEastAsia" w:hAnsiTheme="minorEastAsia" w:cstheme="minorEastAsia"/>
          <w:b/>
          <w:bCs/>
          <w:sz w:val="21"/>
          <w:szCs w:val="21"/>
          <w:lang w:val="en-US" w:eastAsia="zh-CN"/>
        </w:rPr>
        <w:t>：</w:t>
      </w:r>
      <w:r>
        <w:rPr>
          <w:rFonts w:hint="eastAsia" w:asciiTheme="minorEastAsia" w:hAnsiTheme="minorEastAsia" w:eastAsiaTheme="minorEastAsia" w:cstheme="minorEastAsia"/>
          <w:b/>
          <w:bCs/>
          <w:sz w:val="21"/>
          <w:szCs w:val="21"/>
        </w:rPr>
        <w:t>在媒体融合向纵深演进的时代背景下，省级地面频道面临转型突围的迫切诉求。山东广播电视台农科频道以“地蛋哥”“草莓君”等垂类IP为核心引擎，探索形成了</w:t>
      </w:r>
      <w:r>
        <w:rPr>
          <w:rFonts w:hint="eastAsia" w:asciiTheme="minorEastAsia" w:hAnsiTheme="minorEastAsia" w:cstheme="minorEastAsia"/>
          <w:b/>
          <w:bCs/>
          <w:sz w:val="21"/>
          <w:szCs w:val="21"/>
          <w:lang w:val="en-US" w:eastAsia="zh-CN"/>
        </w:rPr>
        <w:t>农科</w:t>
      </w:r>
      <w:r>
        <w:rPr>
          <w:rFonts w:hint="eastAsia" w:asciiTheme="minorEastAsia" w:hAnsiTheme="minorEastAsia" w:eastAsiaTheme="minorEastAsia" w:cstheme="minorEastAsia"/>
          <w:b/>
          <w:bCs/>
          <w:sz w:val="21"/>
          <w:szCs w:val="21"/>
        </w:rPr>
        <w:t>特色转型路径。本文以该频道为典型案例，系统解构其“专字当头、双‘万一’筑基、矩阵化布局”的转型逻辑，从传统优势坚守、垂类生态构建、政企农协同赋能三个维度，剖析其在定位优化、内容深耕、账号矩阵搭建、媒体角色升级等方面的实践举措。表明省级地面频道通过聚焦垂直领域、强化专业价值、创新运营模式，能够有效突破地域限制与资源瓶颈，实现传播力、影响力与营收能力的协同提升，为同类媒体的系统性变革提供可借鉴的经验范式。</w:t>
      </w:r>
    </w:p>
    <w:p w14:paraId="63A3632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关键词</w:t>
      </w:r>
      <w:r>
        <w:rPr>
          <w:rFonts w:hint="eastAsia" w:asciiTheme="minorEastAsia" w:hAnsiTheme="minorEastAsia" w:cstheme="minorEastAsia"/>
          <w:b/>
          <w:bCs/>
          <w:sz w:val="21"/>
          <w:szCs w:val="21"/>
          <w:lang w:eastAsia="zh-CN"/>
        </w:rPr>
        <w:t>：</w:t>
      </w:r>
      <w:r>
        <w:rPr>
          <w:rFonts w:hint="eastAsia" w:asciiTheme="minorEastAsia" w:hAnsiTheme="minorEastAsia" w:eastAsiaTheme="minorEastAsia" w:cstheme="minorEastAsia"/>
          <w:b/>
          <w:bCs/>
          <w:sz w:val="21"/>
          <w:szCs w:val="21"/>
        </w:rPr>
        <w:t>省级地面频道；媒体融合；垂类驱动；转型路径</w:t>
      </w:r>
    </w:p>
    <w:p w14:paraId="01B99F3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引言</w:t>
      </w:r>
    </w:p>
    <w:p w14:paraId="611A0B5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随着新媒体技术的迭代升级与传播格局的深度重构，传统媒体的生存发展空间受到显著挤压。省级地面频道作为区域传播体系的重要载体，既面临全国性媒体的跨域竞争压力，又遭遇地方新媒体的流量分流冲击，转型突围已成为其可持续发展的必然选择。习近平总书记明确指出，传统媒体和新兴媒体是迭代关系、优势互补而非取代关系，这一重要论述为媒体融合发展提供了根本遵循与行动指南</w:t>
      </w:r>
      <w:r>
        <w:rPr>
          <w:rFonts w:hint="eastAsia" w:asciiTheme="minorEastAsia" w:hAnsiTheme="minorEastAsia" w:cstheme="minorEastAsia"/>
          <w:b/>
          <w:bCs/>
          <w:sz w:val="21"/>
          <w:szCs w:val="21"/>
          <w:vertAlign w:val="superscript"/>
          <w:lang w:val="en-US" w:eastAsia="zh-CN"/>
        </w:rPr>
        <w:t>[1]</w:t>
      </w:r>
      <w:r>
        <w:rPr>
          <w:rFonts w:hint="eastAsia" w:asciiTheme="minorEastAsia" w:hAnsiTheme="minorEastAsia" w:eastAsiaTheme="minorEastAsia" w:cstheme="minorEastAsia"/>
          <w:b/>
          <w:bCs/>
          <w:sz w:val="21"/>
          <w:szCs w:val="21"/>
        </w:rPr>
        <w:t>。当前，部分省级地面频道在转型进程中存在“泛化布局”“重流量轻质效”“弃传统丢优势”等认知误区，未能构建起核心竞争力。而山东广播电视台农科频道深耕“三农”垂直领域，成功打造“地蛋哥”“草莓君”等具有全国影响力的垂类IP</w:t>
      </w:r>
      <w:r>
        <w:rPr>
          <w:rFonts w:hint="eastAsia" w:asciiTheme="minorEastAsia" w:hAnsiTheme="minorEastAsia" w:cstheme="minorEastAsia"/>
          <w:b/>
          <w:bCs/>
          <w:sz w:val="21"/>
          <w:szCs w:val="21"/>
          <w:lang w:eastAsia="zh-CN"/>
        </w:rPr>
        <w:t>。</w:t>
      </w:r>
      <w:r>
        <w:rPr>
          <w:rFonts w:hint="eastAsia" w:asciiTheme="minorEastAsia" w:hAnsiTheme="minorEastAsia" w:eastAsiaTheme="minorEastAsia" w:cstheme="minorEastAsia"/>
          <w:b/>
          <w:bCs/>
          <w:sz w:val="21"/>
          <w:szCs w:val="21"/>
        </w:rPr>
        <w:t>以网红专业记者为IP，深耕三农领域的垂类账号为分支的的新媒体矩阵，目前粉丝总数1700万+，实现2023-2025年营收逆势增长，为省级地面频道的融合转型提供了可复制的农科特色范例。本文以该频道为研究对象，旨在为省级地面频道破解融合发展困境、构建差异化竞争优势提供理论参考与实践借鉴。</w:t>
      </w:r>
    </w:p>
    <w:p w14:paraId="27ED8AA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一、省级地面频道媒体融合的现实困境与转型逻辑</w:t>
      </w:r>
    </w:p>
    <w:p w14:paraId="75D3E8D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（一）现实困境：省级地面频道的转型痛点</w:t>
      </w:r>
    </w:p>
    <w:p w14:paraId="0B669A3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当前省级地面频道普遍面临三重结构性挑战</w:t>
      </w:r>
      <w:r>
        <w:rPr>
          <w:rFonts w:hint="eastAsia" w:asciiTheme="minorEastAsia" w:hAnsiTheme="minorEastAsia" w:cstheme="minorEastAsia"/>
          <w:b/>
          <w:bCs/>
          <w:sz w:val="21"/>
          <w:szCs w:val="21"/>
          <w:lang w:eastAsia="zh-CN"/>
        </w:rPr>
        <w:t>。</w:t>
      </w:r>
      <w:r>
        <w:rPr>
          <w:rFonts w:hint="eastAsia" w:asciiTheme="minorEastAsia" w:hAnsiTheme="minorEastAsia" w:eastAsiaTheme="minorEastAsia" w:cstheme="minorEastAsia"/>
          <w:b/>
          <w:bCs/>
          <w:sz w:val="21"/>
          <w:szCs w:val="21"/>
        </w:rPr>
        <w:t>其一，传播场景迁移引发传统大屏影响力持续下滑，受众注意力向移动终端（小屏）加速迁移，传统传播渠道效能弱化；其二，内容生产同质化问题突出，缺乏差异化定位与特色表达，难以在海量信息环境中实现有效突围；其三，盈利模式呈现单一化瓶颈，广告收入持续萎缩，融合转型缺乏可持续的营收支撑体系。据统计，全国1106个地市级及以上电视地面频道中，300余家省级地面专业频道的市场竞争尤为激烈，若脱离自身资源禀赋盲目跟风转型，极易陷入“转型即沉寂”的发展困境。</w:t>
      </w:r>
    </w:p>
    <w:p w14:paraId="18869ED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（二）转型逻辑：垂类驱动的核心价值</w:t>
      </w:r>
    </w:p>
    <w:p w14:paraId="707E4CC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垂类驱动的媒体融合转型，核心要义在于摒弃“大而全”的泛化布局策略，聚焦“小而专”的垂直领域深耕细作，通过强化专业价值输出构建差异化竞争壁垒</w:t>
      </w:r>
      <w:r>
        <w:rPr>
          <w:rFonts w:hint="eastAsia" w:asciiTheme="minorEastAsia" w:hAnsiTheme="minorEastAsia" w:cstheme="minorEastAsia"/>
          <w:b/>
          <w:bCs/>
          <w:sz w:val="21"/>
          <w:szCs w:val="21"/>
          <w:vertAlign w:val="superscript"/>
          <w:lang w:val="en-US" w:eastAsia="zh-CN"/>
        </w:rPr>
        <w:t>[2]</w:t>
      </w:r>
      <w:r>
        <w:rPr>
          <w:rFonts w:hint="eastAsia" w:asciiTheme="minorEastAsia" w:hAnsiTheme="minorEastAsia" w:eastAsiaTheme="minorEastAsia" w:cstheme="minorEastAsia"/>
          <w:b/>
          <w:bCs/>
          <w:sz w:val="21"/>
          <w:szCs w:val="21"/>
        </w:rPr>
        <w:t>。对于省级地面频道而言，垂类驱动转型具备天然优势：一方面，省级地面频道深耕区域市场多年，在特定领域积累了丰富的产业资源、权威的媒体公信力与稳定的受众基础；另一方面，垂直领域的精准定位能够实现目标受众的高效触达，有效破解“流量碎片化”带来的传播低效问题。山东农科频道的实践充分证明，垂类驱动不仅能规避转型路径的同质化竞争，更能通过专业价值的放大效应，突破地域传播限制，构建全国性媒体影响力。</w:t>
      </w:r>
    </w:p>
    <w:p w14:paraId="58A92AC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二、山东农科频道垂类驱动转型的实践路径</w:t>
      </w:r>
    </w:p>
    <w:p w14:paraId="0225B2D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（一）坚守传统优势：筑牢融合转型的根基</w:t>
      </w:r>
    </w:p>
    <w:p w14:paraId="114C913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融合转型并非对传统媒体基因的否定，而是在坚守核心优势基础上的迭代升级</w:t>
      </w:r>
      <w:r>
        <w:rPr>
          <w:rFonts w:hint="eastAsia" w:asciiTheme="minorEastAsia" w:hAnsiTheme="minorEastAsia" w:cstheme="minorEastAsia"/>
          <w:b/>
          <w:bCs/>
          <w:sz w:val="21"/>
          <w:szCs w:val="21"/>
          <w:vertAlign w:val="superscript"/>
          <w:lang w:val="en-US" w:eastAsia="zh-CN"/>
        </w:rPr>
        <w:t>[3]</w:t>
      </w:r>
      <w:r>
        <w:rPr>
          <w:rFonts w:hint="eastAsia" w:asciiTheme="minorEastAsia" w:hAnsiTheme="minorEastAsia" w:eastAsiaTheme="minorEastAsia" w:cstheme="minorEastAsia"/>
          <w:b/>
          <w:bCs/>
          <w:sz w:val="21"/>
          <w:szCs w:val="21"/>
        </w:rPr>
        <w:t>。山东农科频道始终聚焦“三农”领域的专业深耕，将传统媒体积淀的公信力与权威性转化为融合转型的核心竞争力（即“护城河”）。</w:t>
      </w:r>
    </w:p>
    <w:p w14:paraId="6336822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在定位优化层面，引入定位学理论对核心栏目进行精准赋能</w:t>
      </w:r>
      <w:r>
        <w:rPr>
          <w:rFonts w:hint="eastAsia" w:asciiTheme="minorEastAsia" w:hAnsiTheme="minorEastAsia" w:cstheme="minorEastAsia"/>
          <w:b/>
          <w:bCs/>
          <w:sz w:val="21"/>
          <w:szCs w:val="21"/>
          <w:lang w:eastAsia="zh-CN"/>
        </w:rPr>
        <w:t>，</w:t>
      </w:r>
      <w:r>
        <w:rPr>
          <w:rFonts w:hint="eastAsia" w:asciiTheme="minorEastAsia" w:hAnsiTheme="minorEastAsia" w:eastAsiaTheme="minorEastAsia" w:cstheme="minorEastAsia"/>
          <w:b/>
          <w:bCs/>
          <w:sz w:val="21"/>
          <w:szCs w:val="21"/>
        </w:rPr>
        <w:t>将开播28年的《乡村季风》定位为“中国三农经济报道第一品牌”，《种地宝典》定位为“中国农资超级大单品孵化中心”，《山东三农新闻联播》定位为“山东三农政务服务第一平台”，通过清晰的差异化定位占领目标受众心智。</w:t>
      </w:r>
    </w:p>
    <w:p w14:paraId="3C5E4B3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在内容生产层面，坚持“内容为王”的核心原则，围绕三农群体的多元需求打造专业化内容体系</w:t>
      </w:r>
      <w:r>
        <w:rPr>
          <w:rFonts w:hint="eastAsia" w:asciiTheme="minorEastAsia" w:hAnsiTheme="minorEastAsia" w:cstheme="minorEastAsia"/>
          <w:b/>
          <w:bCs/>
          <w:sz w:val="21"/>
          <w:szCs w:val="21"/>
          <w:vertAlign w:val="superscript"/>
          <w:lang w:val="en-US" w:eastAsia="zh-CN"/>
        </w:rPr>
        <w:t>[4]</w:t>
      </w:r>
      <w:r>
        <w:rPr>
          <w:rFonts w:hint="eastAsia" w:asciiTheme="minorEastAsia" w:hAnsiTheme="minorEastAsia" w:cstheme="minorEastAsia"/>
          <w:b/>
          <w:bCs/>
          <w:sz w:val="21"/>
          <w:szCs w:val="21"/>
          <w:lang w:eastAsia="zh-CN"/>
        </w:rPr>
        <w:t>。</w:t>
      </w:r>
      <w:r>
        <w:rPr>
          <w:rFonts w:hint="eastAsia" w:asciiTheme="minorEastAsia" w:hAnsiTheme="minorEastAsia" w:eastAsiaTheme="minorEastAsia" w:cstheme="minorEastAsia"/>
          <w:b/>
          <w:bCs/>
          <w:sz w:val="21"/>
          <w:szCs w:val="21"/>
        </w:rPr>
        <w:t>《乡村季风》推出《育种人生》等精品系列报道，聚焦农业科技创新与乡村振兴实践；《山东三农新闻联播》打造“乡村振兴答卷”等重点宣传栏目，成为三农政务信息传播的核心载体；《种地宝典》组建专业内容团队，为农资企业提供定制化内容服务，形成“栏目品牌+专业内容”的双重竞争优势。</w:t>
      </w:r>
    </w:p>
    <w:p w14:paraId="008DF7C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（二）构建垂类生态：打造多层次融合矩阵</w:t>
      </w:r>
    </w:p>
    <w:p w14:paraId="5334AA5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基于“专字当头、做好两个万一”的战略定位，山东农科频道构建了“行业大号+垂类账号+人设IP”的多层次新媒体传播矩阵，实现专业价值的最大化传播。</w:t>
      </w:r>
    </w:p>
    <w:p w14:paraId="67B81AF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万米长、一米深”的行业大号布局，聚焦三农核心领域打造标杆性传播平台。《乡村季风》《山东三农新闻联播》等核心账号作为矩阵枢纽，分别覆盖农业产业传播与三农政务服务领域，其中《乡村季风》抖音账号粉丝量达375.5万，《山东三农新闻联播》抖音账号获赞量突破1.2亿，已发展成为全国三农领域的头部传播平台。</w:t>
      </w:r>
    </w:p>
    <w:p w14:paraId="2CBBEA0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“一米长、万米深”的垂类账号深耕，针对特定作物与细分产业打造垂直赛道。先后推出“农科草莓君”“大国苹果”“晓超说生姜”等专业化账号，聚焦单一产业领域进行深度内容生产</w:t>
      </w:r>
      <w:r>
        <w:rPr>
          <w:rFonts w:hint="eastAsia" w:asciiTheme="minorEastAsia" w:hAnsiTheme="minorEastAsia" w:cstheme="minorEastAsia"/>
          <w:b/>
          <w:bCs/>
          <w:sz w:val="21"/>
          <w:szCs w:val="21"/>
          <w:lang w:eastAsia="zh-CN"/>
        </w:rPr>
        <w:t>。</w:t>
      </w:r>
      <w:r>
        <w:rPr>
          <w:rFonts w:hint="eastAsia" w:asciiTheme="minorEastAsia" w:hAnsiTheme="minorEastAsia" w:eastAsiaTheme="minorEastAsia" w:cstheme="minorEastAsia"/>
          <w:b/>
          <w:bCs/>
          <w:sz w:val="21"/>
          <w:szCs w:val="21"/>
        </w:rPr>
        <w:t>农科频道频道将“地蛋哥”IP和账号，与农大肥业在马铃薯产业的发展紧密捆绑，达成“合伙人计划”，专注于马铃薯产业的人设号，五年间，地蛋哥走访了全国三分之二以上的马铃薯主产区，深入了解种植户的真实痛点，从病虫害防治到市场行情，从高产技术到销售渠道，打造出真正“有用”的内容。内容的有用性，带来了传播的有效性。因为“有用”，受众自发关注，并形成强粘性。目前，“地蛋哥”在全平台积累了超过30万粉丝，几乎覆盖了所有使用新媒体的马铃薯种植者，成为全网马铃薯行业第一账号。2022年，地蛋哥成为中国作物学会马铃薯专委会委员及多个马铃薯主产区的协会会员，这也是第一个以媒体记者身份成为行业协会委员的，实现了从行业报道者到产业服务者的转变。</w:t>
      </w:r>
    </w:p>
    <w:p w14:paraId="2E57F41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人设IP赋能账号活力提升，推动记者主持人向“专家型网红”转型。成功打造“地蛋哥”（王昕萌）、“黑黑的一亩田”（孙全忠）等特色IP，其中“地蛋哥”聚焦马铃薯产业，全平台粉丝量超30万，覆盖全国主要马铃薯种植区域，实现了从“行业报道者”到“产业服务者”的角色转变，其个人入选“好记者讲好故事”十佳选手，相关实践获得中宣部相关领导的肯定。</w:t>
      </w:r>
    </w:p>
    <w:p w14:paraId="47812FD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（三）创新运营模式：实现多方协同赋能</w:t>
      </w:r>
    </w:p>
    <w:p w14:paraId="117B35A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山东农科频道突破传统媒体的运营边界，构建“媒体+政府+企业+农户”的协同赋能模式，将垂类领域优势转化为可持续的发展动能。</w:t>
      </w:r>
    </w:p>
    <w:p w14:paraId="74507FE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在政务服务层面，重点布局视频号等政务传播平台，打造“小崔说三农”等融媒专栏，精准触达政务工作群体，高效传播三农领域政策法规与重大举措，已成为省委省政府推进乡村振兴工作的重要宣传阵地，被授予“脱贫攻坚先进集体”荣誉称号。</w:t>
      </w:r>
    </w:p>
    <w:p w14:paraId="357D1E5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在产业服务层面，与农资企业开展深度战略合作，提供差异化新媒体服务</w:t>
      </w:r>
      <w:r>
        <w:rPr>
          <w:rFonts w:hint="eastAsia" w:asciiTheme="minorEastAsia" w:hAnsiTheme="minorEastAsia" w:cstheme="minorEastAsia"/>
          <w:b/>
          <w:bCs/>
          <w:sz w:val="21"/>
          <w:szCs w:val="21"/>
          <w:lang w:eastAsia="zh-CN"/>
        </w:rPr>
        <w:t>，</w:t>
      </w:r>
      <w:r>
        <w:rPr>
          <w:rFonts w:hint="eastAsia" w:asciiTheme="minorEastAsia" w:hAnsiTheme="minorEastAsia" w:eastAsiaTheme="minorEastAsia" w:cstheme="minorEastAsia"/>
          <w:b/>
          <w:bCs/>
          <w:sz w:val="21"/>
          <w:szCs w:val="21"/>
        </w:rPr>
        <w:t>为农大肥业打造“高大美”专属人设IP，三年累计制作100条专业化短视频，助力其账号成长为行业标杆；联合企业打造“了不起的马铃薯”“三只虎”等定制化账号与产品品牌，其中“三只虎”复合菌肥两年销量突破1亿元，媒体方获得250万元对赌回报，实现媒企协同发展的双赢格局。</w:t>
      </w:r>
    </w:p>
    <w:p w14:paraId="4918721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三、垂类驱动转型的成效与启示</w:t>
      </w:r>
    </w:p>
    <w:p w14:paraId="5B4D5E0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（一）转型成效：传播与营收的双重突破</w:t>
      </w:r>
    </w:p>
    <w:p w14:paraId="5D6BBC8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山东农科频道的垂类驱动转型取得显著实践成效</w:t>
      </w:r>
      <w:r>
        <w:rPr>
          <w:rFonts w:hint="eastAsia" w:asciiTheme="minorEastAsia" w:hAnsiTheme="minorEastAsia" w:cstheme="minorEastAsia"/>
          <w:b/>
          <w:bCs/>
          <w:sz w:val="21"/>
          <w:szCs w:val="21"/>
          <w:lang w:eastAsia="zh-CN"/>
        </w:rPr>
        <w:t>。</w:t>
      </w:r>
      <w:r>
        <w:rPr>
          <w:rFonts w:hint="eastAsia" w:asciiTheme="minorEastAsia" w:hAnsiTheme="minorEastAsia" w:eastAsiaTheme="minorEastAsia" w:cstheme="minorEastAsia"/>
          <w:b/>
          <w:bCs/>
          <w:sz w:val="21"/>
          <w:szCs w:val="21"/>
        </w:rPr>
        <w:t>在传播效能层面，构建起全国领先的三农新媒体传播矩阵，粉丝总量突破1700万，实现对政务、产业、农户等多元人群的全覆盖，成功突破省级地面频道的地域传播限制；在营收表现层面，在行业整体发展承压的背景下实现逆势增长，2023年营收达4486.49万元，2024年增至4569万元，2025年预期突破5000万元，充分彰显了垂类转型的营收韧性。与此同时，频道的专业影响力获得行业广泛认可，多名核心记者入选相关行业协会任职，成功构建起连接政府、企业、农户的沟通桥梁，实现了从“传播者”到“服务者”再到“赋能者”的多重角色升级。</w:t>
      </w:r>
    </w:p>
    <w:p w14:paraId="6433B82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（二）转型启示：省级地面频道的融合方向</w:t>
      </w:r>
    </w:p>
    <w:p w14:paraId="5D05851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山东农科频道的转型实践，为省级地面频道的融合发展提供了三点核心启示。其一，坚守专业定位，深耕优势领域。摒弃泛化竞争的粗放式发展思维，聚焦自身长期积累的特色优势领域进行深度挖掘与价值深耕，将传统媒体积淀的公信力转化为融合转型进程中的核心战略资产。其二，构建垂类生态，强化精准传播。以“行业头部账号+垂类细分账号+人格化IP”的矩阵化布局，实现目标受众的精准触达与圈层深度渗透，持续提升流量质量与用户粘性，筑牢核心用户群体基础。其三，创新盈利模式，拓宽营收路径。突破对传统广告业务的单一依赖，积极拓展政务服务合作、产业资源赋能、特色活动承办等多元盈利路径，构建稳定可持续的营收体系，为融合发展提供长效支撑。</w:t>
      </w:r>
    </w:p>
    <w:p w14:paraId="042A072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结束语</w:t>
      </w:r>
    </w:p>
    <w:p w14:paraId="27754D3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在媒体融合进入深水区的发展阶段，省级地面频道的转型并无统一范式，但山东农科频道从“地蛋哥”到“草莓君”的实践探索证明，垂类驱动是一条切实可行的突围路径。其核心逻辑在于，通过聚焦垂直领域强化专业价值输出，通过矩阵化布局扩大传播效能，通过多元协同模式实现价值变现，最终突破地域与资源限制，在细分赛道构建不可替代的竞争优势。面对未来传播格局的持续变革，省级地面频道需进一步坚守专业初心、深化垂类布局、创新运营思维，在保持自身特色的基础上，持续探索“专业+融合+赋能”的发展模式。唯有如此，才能在媒体迭代浪潮中站稳脚跟，实现传播力、引导力、影响力、公信力的全面提升，为区域高质量发展与行业进步贡献媒体力量。未来的研究可进一步拓展案例范围，对比不同类型垂类频道的转型路径，为媒体融合理论体系的丰富完善提供更多实践支撑。</w:t>
      </w:r>
    </w:p>
    <w:p w14:paraId="1AFF85A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参考文献</w:t>
      </w:r>
      <w:r>
        <w:rPr>
          <w:rFonts w:hint="eastAsia" w:asciiTheme="minorEastAsia" w:hAnsiTheme="minorEastAsia" w:cstheme="minorEastAsia"/>
          <w:b/>
          <w:bCs/>
          <w:sz w:val="21"/>
          <w:szCs w:val="21"/>
          <w:lang w:val="en-US" w:eastAsia="zh-CN"/>
        </w:rPr>
        <w:t>：</w:t>
      </w:r>
    </w:p>
    <w:p w14:paraId="03EDB01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Theme="minorEastAsia" w:hAnsiTheme="minorEastAsia" w:cstheme="minorEastAsia"/>
          <w:b/>
          <w:bCs/>
          <w:sz w:val="21"/>
          <w:szCs w:val="21"/>
          <w:lang w:val="en-US" w:eastAsia="zh-CN"/>
        </w:rPr>
      </w:pPr>
      <w:r>
        <w:rPr>
          <w:rFonts w:hint="default" w:asciiTheme="minorEastAsia" w:hAnsiTheme="minorEastAsia" w:cstheme="minorEastAsia"/>
          <w:b/>
          <w:bCs/>
          <w:sz w:val="21"/>
          <w:szCs w:val="21"/>
          <w:lang w:val="en-US" w:eastAsia="zh-CN"/>
        </w:rPr>
        <w:t>[1]郑阳洋. 技术驱动媒体融合的探索与实践[J].中国地市报人,2025,(10):14-15.DOI:10.</w:t>
      </w:r>
    </w:p>
    <w:p w14:paraId="47C6F88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Theme="minorEastAsia" w:hAnsiTheme="minorEastAsia" w:cstheme="minorEastAsia"/>
          <w:b/>
          <w:bCs/>
          <w:sz w:val="21"/>
          <w:szCs w:val="21"/>
          <w:lang w:val="en-US" w:eastAsia="zh-CN"/>
        </w:rPr>
      </w:pPr>
      <w:r>
        <w:rPr>
          <w:rFonts w:hint="default" w:asciiTheme="minorEastAsia" w:hAnsiTheme="minorEastAsia" w:cstheme="minorEastAsia"/>
          <w:b/>
          <w:bCs/>
          <w:sz w:val="21"/>
          <w:szCs w:val="21"/>
          <w:lang w:val="en-US" w:eastAsia="zh-CN"/>
        </w:rPr>
        <w:t>[2]李树军. 主流媒体系统性变革：媒体融合发展的新模式[J].记者摇篮,2025,(10):102-104.</w:t>
      </w:r>
    </w:p>
    <w:p w14:paraId="7923800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Theme="minorEastAsia" w:hAnsiTheme="minorEastAsia" w:cstheme="minorEastAsia"/>
          <w:b/>
          <w:bCs/>
          <w:sz w:val="21"/>
          <w:szCs w:val="21"/>
          <w:lang w:val="en-US" w:eastAsia="zh-CN"/>
        </w:rPr>
      </w:pPr>
      <w:r>
        <w:rPr>
          <w:rFonts w:hint="default" w:asciiTheme="minorEastAsia" w:hAnsiTheme="minorEastAsia" w:cstheme="minorEastAsia"/>
          <w:b/>
          <w:bCs/>
          <w:sz w:val="21"/>
          <w:szCs w:val="21"/>
          <w:lang w:val="en-US" w:eastAsia="zh-CN"/>
        </w:rPr>
        <w:t>[3]许勇辉. 媒体融合背景下广播电视编辑的转型研究[J].传媒论坛,2025,(19):78-80+84.</w:t>
      </w:r>
    </w:p>
    <w:p w14:paraId="5F69402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Theme="minorEastAsia" w:hAnsiTheme="minorEastAsia" w:cstheme="minorEastAsia"/>
          <w:b/>
          <w:bCs/>
          <w:sz w:val="21"/>
          <w:szCs w:val="21"/>
          <w:lang w:val="en-US" w:eastAsia="zh-CN"/>
        </w:rPr>
      </w:pPr>
      <w:r>
        <w:rPr>
          <w:rFonts w:hint="default" w:asciiTheme="minorEastAsia" w:hAnsiTheme="minorEastAsia" w:cstheme="minorEastAsia"/>
          <w:b/>
          <w:bCs/>
          <w:sz w:val="21"/>
          <w:szCs w:val="21"/>
          <w:lang w:val="en-US" w:eastAsia="zh-CN"/>
        </w:rPr>
        <w:t>[4]王静,李京选. 大流量与超垂类：省级地面频道媒体融合的探索与实践——以山东广电“比翼计划”为例[J].新闻世界,2023,(11):7-9.DOI:10.</w:t>
      </w:r>
    </w:p>
    <w:p w14:paraId="45B5AFC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Theme="minorEastAsia" w:hAnsiTheme="minorEastAsia" w:cstheme="minorEastAsia"/>
          <w:b/>
          <w:bCs/>
          <w:sz w:val="21"/>
          <w:szCs w:val="21"/>
          <w:lang w:val="en-US" w:eastAsia="zh-CN"/>
        </w:rPr>
      </w:pPr>
    </w:p>
    <w:p w14:paraId="1D9FE2D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hYWEzYTJjOTA0Y2Y1NDg3ZjNmNWE3NGE4NTI5ZDcifQ=="/>
  </w:docVars>
  <w:rsids>
    <w:rsidRoot w:val="00000000"/>
    <w:rsid w:val="005C088A"/>
    <w:rsid w:val="00FE5DE6"/>
    <w:rsid w:val="018207C5"/>
    <w:rsid w:val="01A4698D"/>
    <w:rsid w:val="01DF79C5"/>
    <w:rsid w:val="024535A0"/>
    <w:rsid w:val="025739FF"/>
    <w:rsid w:val="02E01C47"/>
    <w:rsid w:val="03726617"/>
    <w:rsid w:val="037B196F"/>
    <w:rsid w:val="03C30C20"/>
    <w:rsid w:val="040F20B8"/>
    <w:rsid w:val="053C0C8A"/>
    <w:rsid w:val="06823015"/>
    <w:rsid w:val="075C3866"/>
    <w:rsid w:val="081D5B5E"/>
    <w:rsid w:val="08406CE4"/>
    <w:rsid w:val="090441B5"/>
    <w:rsid w:val="0B3A59ED"/>
    <w:rsid w:val="0C8C0749"/>
    <w:rsid w:val="0CC7352F"/>
    <w:rsid w:val="0D006A41"/>
    <w:rsid w:val="0DCB34F3"/>
    <w:rsid w:val="0E944985"/>
    <w:rsid w:val="0EFD76DC"/>
    <w:rsid w:val="0FAB0EE6"/>
    <w:rsid w:val="12D746E8"/>
    <w:rsid w:val="13390EFF"/>
    <w:rsid w:val="14795A57"/>
    <w:rsid w:val="148B12E6"/>
    <w:rsid w:val="14CB5B87"/>
    <w:rsid w:val="162B4B2F"/>
    <w:rsid w:val="16FB6BF7"/>
    <w:rsid w:val="181B5077"/>
    <w:rsid w:val="199724DC"/>
    <w:rsid w:val="1A0F6516"/>
    <w:rsid w:val="1A2A3350"/>
    <w:rsid w:val="1BD712B5"/>
    <w:rsid w:val="1C5A43C0"/>
    <w:rsid w:val="1C5B5A42"/>
    <w:rsid w:val="1D095A8E"/>
    <w:rsid w:val="1D560904"/>
    <w:rsid w:val="1DE203C8"/>
    <w:rsid w:val="21132D8F"/>
    <w:rsid w:val="21134B3E"/>
    <w:rsid w:val="21240AF9"/>
    <w:rsid w:val="21C41376"/>
    <w:rsid w:val="239D2DE4"/>
    <w:rsid w:val="246B4C91"/>
    <w:rsid w:val="24747FE9"/>
    <w:rsid w:val="249E6E14"/>
    <w:rsid w:val="258E50DA"/>
    <w:rsid w:val="25CE197B"/>
    <w:rsid w:val="26025181"/>
    <w:rsid w:val="263F63D5"/>
    <w:rsid w:val="26740426"/>
    <w:rsid w:val="267A740D"/>
    <w:rsid w:val="26B50445"/>
    <w:rsid w:val="26C30DB4"/>
    <w:rsid w:val="275A1718"/>
    <w:rsid w:val="27DD40F7"/>
    <w:rsid w:val="27EB05C2"/>
    <w:rsid w:val="28ED3EC6"/>
    <w:rsid w:val="28F90ABD"/>
    <w:rsid w:val="292C49EE"/>
    <w:rsid w:val="29657F00"/>
    <w:rsid w:val="2A293624"/>
    <w:rsid w:val="2C25545B"/>
    <w:rsid w:val="2D8A262B"/>
    <w:rsid w:val="2F0106CB"/>
    <w:rsid w:val="2F063F34"/>
    <w:rsid w:val="2F6F1AD9"/>
    <w:rsid w:val="319677F1"/>
    <w:rsid w:val="32DC56D7"/>
    <w:rsid w:val="32E91BA2"/>
    <w:rsid w:val="33833DA5"/>
    <w:rsid w:val="340C3D9A"/>
    <w:rsid w:val="34272982"/>
    <w:rsid w:val="34592D57"/>
    <w:rsid w:val="347831DE"/>
    <w:rsid w:val="34AA710F"/>
    <w:rsid w:val="34F5482E"/>
    <w:rsid w:val="35121516"/>
    <w:rsid w:val="35523A2F"/>
    <w:rsid w:val="3664711F"/>
    <w:rsid w:val="366A2FFA"/>
    <w:rsid w:val="36877708"/>
    <w:rsid w:val="38975BFC"/>
    <w:rsid w:val="38983E4E"/>
    <w:rsid w:val="39C24EFB"/>
    <w:rsid w:val="3A1C285D"/>
    <w:rsid w:val="3A8328DC"/>
    <w:rsid w:val="3AF410E4"/>
    <w:rsid w:val="3B3B6D13"/>
    <w:rsid w:val="3C1947EA"/>
    <w:rsid w:val="3F47037C"/>
    <w:rsid w:val="4004626D"/>
    <w:rsid w:val="407E7DCE"/>
    <w:rsid w:val="40B97058"/>
    <w:rsid w:val="41AC44C7"/>
    <w:rsid w:val="432602A9"/>
    <w:rsid w:val="43972F54"/>
    <w:rsid w:val="43AA0EDA"/>
    <w:rsid w:val="446948F1"/>
    <w:rsid w:val="45DB537A"/>
    <w:rsid w:val="461B18E5"/>
    <w:rsid w:val="482374AD"/>
    <w:rsid w:val="489B5295"/>
    <w:rsid w:val="495518E8"/>
    <w:rsid w:val="4A550DD6"/>
    <w:rsid w:val="4B074E64"/>
    <w:rsid w:val="4C9B3AB5"/>
    <w:rsid w:val="4CC50B32"/>
    <w:rsid w:val="4D302450"/>
    <w:rsid w:val="4DEF40B9"/>
    <w:rsid w:val="4E5959D6"/>
    <w:rsid w:val="4E8F764A"/>
    <w:rsid w:val="4FBC446F"/>
    <w:rsid w:val="50D92DFE"/>
    <w:rsid w:val="51360251"/>
    <w:rsid w:val="51454937"/>
    <w:rsid w:val="51695F30"/>
    <w:rsid w:val="53A5521A"/>
    <w:rsid w:val="53B67427"/>
    <w:rsid w:val="53C41B44"/>
    <w:rsid w:val="54552F6A"/>
    <w:rsid w:val="54DA7145"/>
    <w:rsid w:val="564B26CD"/>
    <w:rsid w:val="567F1D52"/>
    <w:rsid w:val="56B95575"/>
    <w:rsid w:val="56FC15F5"/>
    <w:rsid w:val="57631674"/>
    <w:rsid w:val="57B27F05"/>
    <w:rsid w:val="5900361E"/>
    <w:rsid w:val="5A105AE3"/>
    <w:rsid w:val="5A865DA5"/>
    <w:rsid w:val="5AAB580B"/>
    <w:rsid w:val="5BEC7E8A"/>
    <w:rsid w:val="5BFB00CD"/>
    <w:rsid w:val="5CEE7C31"/>
    <w:rsid w:val="5D4E247E"/>
    <w:rsid w:val="5E4D0988"/>
    <w:rsid w:val="5ED30E8D"/>
    <w:rsid w:val="5FD650D9"/>
    <w:rsid w:val="604E1113"/>
    <w:rsid w:val="60C74A21"/>
    <w:rsid w:val="614222FA"/>
    <w:rsid w:val="6142679E"/>
    <w:rsid w:val="61502C69"/>
    <w:rsid w:val="61840B64"/>
    <w:rsid w:val="61F555BE"/>
    <w:rsid w:val="62053A53"/>
    <w:rsid w:val="623065F6"/>
    <w:rsid w:val="632779F9"/>
    <w:rsid w:val="63584057"/>
    <w:rsid w:val="66664CDC"/>
    <w:rsid w:val="669E7FD2"/>
    <w:rsid w:val="679E7A57"/>
    <w:rsid w:val="67A07D7A"/>
    <w:rsid w:val="67D6379C"/>
    <w:rsid w:val="67EC1211"/>
    <w:rsid w:val="681A72DB"/>
    <w:rsid w:val="68F760C0"/>
    <w:rsid w:val="698E2580"/>
    <w:rsid w:val="6BB87D88"/>
    <w:rsid w:val="6C3867D3"/>
    <w:rsid w:val="6C7B41C9"/>
    <w:rsid w:val="6D2A0812"/>
    <w:rsid w:val="6DD8201C"/>
    <w:rsid w:val="6E557B10"/>
    <w:rsid w:val="6EC66318"/>
    <w:rsid w:val="6FCF56A0"/>
    <w:rsid w:val="6FE86FF6"/>
    <w:rsid w:val="6FF13869"/>
    <w:rsid w:val="70182BA3"/>
    <w:rsid w:val="701A2DBF"/>
    <w:rsid w:val="7060279C"/>
    <w:rsid w:val="71063344"/>
    <w:rsid w:val="711C2B67"/>
    <w:rsid w:val="721D0945"/>
    <w:rsid w:val="725A3947"/>
    <w:rsid w:val="729E5688"/>
    <w:rsid w:val="753A7A60"/>
    <w:rsid w:val="760065B4"/>
    <w:rsid w:val="766A1C7F"/>
    <w:rsid w:val="76A827A7"/>
    <w:rsid w:val="780F0D30"/>
    <w:rsid w:val="78900AF1"/>
    <w:rsid w:val="7892370F"/>
    <w:rsid w:val="78DD4AB9"/>
    <w:rsid w:val="79894B12"/>
    <w:rsid w:val="79C30024"/>
    <w:rsid w:val="7AEF4E49"/>
    <w:rsid w:val="7B31720F"/>
    <w:rsid w:val="7B4F7695"/>
    <w:rsid w:val="7C613B24"/>
    <w:rsid w:val="7D755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3990</Words>
  <Characters>4164</Characters>
  <Lines>0</Lines>
  <Paragraphs>0</Paragraphs>
  <TotalTime>95</TotalTime>
  <ScaleCrop>false</ScaleCrop>
  <LinksUpToDate>false</LinksUpToDate>
  <CharactersWithSpaces>4168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2025-11-16T11:32:00Z</dcterms:created>
  <dc:creator>宗宗</dc:creator>
  <cp:lastModifiedBy>陈晓阳</cp:lastModifiedBy>
  <dcterms:modified xsi:type="dcterms:W3CDTF">2026-05-12T11:12:13Z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094374DE61164A969888A2123AF6F8D8_13</vt:lpwstr>
  </property>
  <property fmtid="{D5CDD505-2E9C-101B-9397-08002B2CF9AE}" pid="4" name="KSOTemplateDocerSaveRecord">
    <vt:lpwstr>eyJoZGlkIjoiYmM3NjEwZGZiMjhjNmM2MjRlNDZkZmExNDNiNzdhNTAiLCJ1c2VySWQiOiI0NDM5MzA4NzYifQ==</vt:lpwstr>
  </property>
</Properties>
</file>