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Arial"/>
          <w:b/>
          <w:color w:val="FF0000"/>
          <w:kern w:val="0"/>
          <w:sz w:val="44"/>
          <w:szCs w:val="44"/>
        </w:rPr>
      </w:pPr>
      <w:bookmarkStart w:id="2" w:name="_GoBack"/>
      <w:bookmarkEnd w:id="2"/>
      <w:r>
        <w:rPr>
          <w:rFonts w:hint="eastAsia" w:ascii="宋体" w:hAnsi="宋体" w:cs="Arial"/>
          <w:b/>
          <w:color w:val="FF0000"/>
          <w:kern w:val="0"/>
          <w:sz w:val="44"/>
          <w:szCs w:val="44"/>
        </w:rPr>
        <w:t>中共山东省委党校（山东行政学院）</w:t>
      </w:r>
    </w:p>
    <w:p>
      <w:pPr>
        <w:widowControl/>
        <w:jc w:val="center"/>
        <w:rPr>
          <w:rFonts w:ascii="宋体" w:hAnsi="宋体" w:cs="Arial"/>
          <w:b/>
          <w:color w:val="FF0000"/>
          <w:kern w:val="0"/>
          <w:sz w:val="44"/>
          <w:szCs w:val="44"/>
        </w:rPr>
      </w:pPr>
      <w:r>
        <w:rPr>
          <w:rFonts w:hint="eastAsia" w:ascii="宋体" w:hAnsi="宋体" w:cs="Arial"/>
          <w:b/>
          <w:color w:val="FF0000"/>
          <w:kern w:val="0"/>
          <w:sz w:val="44"/>
          <w:szCs w:val="44"/>
        </w:rPr>
        <w:t>干部继续教育学院兖矿分院</w:t>
      </w:r>
    </w:p>
    <w:p>
      <w:pPr>
        <w:widowControl/>
        <w:jc w:val="center"/>
        <w:rPr>
          <w:rFonts w:ascii="宋体" w:hAnsi="宋体" w:cs="Arial"/>
          <w:b/>
          <w:color w:val="FF0000"/>
          <w:kern w:val="0"/>
          <w:sz w:val="44"/>
          <w:szCs w:val="44"/>
        </w:rPr>
      </w:pPr>
      <w:r>
        <w:rPr>
          <w:rFonts w:ascii="宋体" w:hAnsi="宋体" w:cs="Arial"/>
          <w:b/>
          <w:color w:val="FF0000"/>
          <w:kern w:val="0"/>
          <w:sz w:val="44"/>
          <w:szCs w:val="44"/>
        </w:rPr>
        <w:t>202</w:t>
      </w:r>
      <w:r>
        <w:rPr>
          <w:rFonts w:hint="eastAsia" w:ascii="宋体" w:hAnsi="宋体" w:cs="Arial"/>
          <w:b/>
          <w:color w:val="FF0000"/>
          <w:kern w:val="0"/>
          <w:sz w:val="44"/>
          <w:szCs w:val="44"/>
        </w:rPr>
        <w:t>2年在职研究生招生办法</w:t>
      </w:r>
    </w:p>
    <w:p>
      <w:pPr>
        <w:widowControl/>
        <w:jc w:val="center"/>
        <w:rPr>
          <w:rFonts w:ascii="宋体"/>
          <w:b/>
          <w:sz w:val="44"/>
          <w:szCs w:val="44"/>
        </w:rPr>
      </w:pPr>
    </w:p>
    <w:p>
      <w:pPr>
        <w:tabs>
          <w:tab w:val="left" w:pos="1276"/>
        </w:tabs>
        <w:autoSpaceDE w:val="0"/>
        <w:autoSpaceDN w:val="0"/>
        <w:adjustRightInd w:val="0"/>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根据《中共山东省委党校（山东行政学院）关于</w:t>
      </w:r>
      <w:r>
        <w:rPr>
          <w:rFonts w:ascii="仿宋" w:hAnsi="仿宋" w:eastAsia="仿宋" w:cs="Times New Roman"/>
          <w:sz w:val="32"/>
          <w:szCs w:val="32"/>
        </w:rPr>
        <w:t>202</w:t>
      </w:r>
      <w:r>
        <w:rPr>
          <w:rFonts w:hint="eastAsia" w:ascii="仿宋" w:hAnsi="仿宋" w:eastAsia="仿宋" w:cs="Times New Roman"/>
          <w:sz w:val="32"/>
          <w:szCs w:val="32"/>
        </w:rPr>
        <w:t>2年在职干部研究生班2022年招生简章》,制定招生办法如下:</w:t>
      </w:r>
    </w:p>
    <w:p>
      <w:pPr>
        <w:tabs>
          <w:tab w:val="left" w:pos="1276"/>
        </w:tabs>
        <w:ind w:firstLine="640" w:firstLineChars="200"/>
        <w:rPr>
          <w:rFonts w:ascii="黑体" w:hAnsi="黑体" w:eastAsia="黑体" w:cs="Times New Roman"/>
          <w:sz w:val="32"/>
          <w:szCs w:val="32"/>
        </w:rPr>
      </w:pPr>
      <w:r>
        <w:rPr>
          <w:rFonts w:hint="eastAsia" w:ascii="黑体" w:hAnsi="黑体" w:eastAsia="黑体" w:cs="Times New Roman"/>
          <w:sz w:val="32"/>
          <w:szCs w:val="32"/>
        </w:rPr>
        <w:t>一、招生专业和学制</w:t>
      </w:r>
    </w:p>
    <w:p>
      <w:pPr>
        <w:tabs>
          <w:tab w:val="left" w:pos="1276"/>
        </w:tabs>
        <w:ind w:firstLine="640" w:firstLineChars="200"/>
        <w:rPr>
          <w:rFonts w:ascii="仿宋" w:hAnsi="仿宋" w:eastAsia="仿宋" w:cs="Times New Roman"/>
          <w:sz w:val="32"/>
          <w:szCs w:val="32"/>
        </w:rPr>
      </w:pPr>
      <w:r>
        <w:rPr>
          <w:rFonts w:ascii="仿宋" w:hAnsi="仿宋" w:eastAsia="仿宋" w:cs="Times New Roman"/>
          <w:sz w:val="32"/>
          <w:szCs w:val="32"/>
        </w:rPr>
        <w:t>202</w:t>
      </w:r>
      <w:r>
        <w:rPr>
          <w:rFonts w:hint="eastAsia" w:ascii="仿宋" w:hAnsi="仿宋" w:eastAsia="仿宋" w:cs="Times New Roman"/>
          <w:sz w:val="32"/>
          <w:szCs w:val="32"/>
        </w:rPr>
        <w:t>2年继续开设经济管理、法学理论两个专业；各专业学制均为</w:t>
      </w:r>
      <w:r>
        <w:rPr>
          <w:rFonts w:ascii="仿宋" w:hAnsi="仿宋" w:eastAsia="仿宋" w:cs="Times New Roman"/>
          <w:sz w:val="32"/>
          <w:szCs w:val="32"/>
        </w:rPr>
        <w:t>3</w:t>
      </w:r>
      <w:r>
        <w:rPr>
          <w:rFonts w:hint="eastAsia" w:ascii="仿宋" w:hAnsi="仿宋" w:eastAsia="仿宋" w:cs="Times New Roman"/>
          <w:sz w:val="32"/>
          <w:szCs w:val="32"/>
        </w:rPr>
        <w:t>年。</w:t>
      </w:r>
    </w:p>
    <w:p>
      <w:pPr>
        <w:tabs>
          <w:tab w:val="left" w:pos="1276"/>
        </w:tabs>
        <w:ind w:firstLine="640" w:firstLineChars="200"/>
        <w:rPr>
          <w:rFonts w:ascii="黑体" w:hAnsi="黑体" w:eastAsia="黑体" w:cs="Times New Roman"/>
          <w:sz w:val="32"/>
          <w:szCs w:val="32"/>
        </w:rPr>
      </w:pPr>
      <w:r>
        <w:rPr>
          <w:rFonts w:hint="eastAsia" w:ascii="黑体" w:hAnsi="黑体" w:eastAsia="黑体" w:cs="Times New Roman"/>
          <w:sz w:val="32"/>
          <w:szCs w:val="32"/>
        </w:rPr>
        <w:t>二、招生对象和条件</w:t>
      </w:r>
    </w:p>
    <w:p>
      <w:pPr>
        <w:tabs>
          <w:tab w:val="left" w:pos="1276"/>
        </w:tabs>
        <w:ind w:firstLine="640" w:firstLineChars="200"/>
        <w:rPr>
          <w:rFonts w:ascii="仿宋" w:hAnsi="仿宋" w:eastAsia="仿宋" w:cs="Times New Roman"/>
          <w:sz w:val="32"/>
          <w:szCs w:val="32"/>
        </w:rPr>
      </w:pPr>
      <w:r>
        <w:rPr>
          <w:rFonts w:hint="eastAsia" w:ascii="仿宋" w:hAnsi="仿宋" w:eastAsia="仿宋" w:cs="Times New Roman"/>
          <w:sz w:val="32"/>
          <w:szCs w:val="32"/>
        </w:rPr>
        <w:t>招生对象：各专业主要招收党政群机关、事业单位、国有企业中的乡科级及以上党员领导干部和具有中级及以上专业技术职称且现聘中级及以上岗位的党员干部。</w:t>
      </w:r>
    </w:p>
    <w:p>
      <w:pPr>
        <w:tabs>
          <w:tab w:val="left" w:pos="1276"/>
        </w:tabs>
        <w:ind w:firstLine="640" w:firstLineChars="200"/>
        <w:rPr>
          <w:rFonts w:ascii="仿宋" w:hAnsi="仿宋" w:eastAsia="仿宋" w:cs="Times New Roman"/>
          <w:sz w:val="32"/>
          <w:szCs w:val="32"/>
        </w:rPr>
      </w:pPr>
      <w:r>
        <w:rPr>
          <w:rFonts w:hint="eastAsia" w:ascii="仿宋" w:hAnsi="仿宋" w:eastAsia="仿宋" w:cs="Times New Roman"/>
          <w:sz w:val="32"/>
          <w:szCs w:val="32"/>
        </w:rPr>
        <w:t>报考条件</w:t>
      </w:r>
      <w:r>
        <w:rPr>
          <w:rFonts w:ascii="仿宋" w:hAnsi="仿宋" w:eastAsia="仿宋" w:cs="Times New Roman"/>
          <w:sz w:val="32"/>
          <w:szCs w:val="32"/>
        </w:rPr>
        <w:t>:</w:t>
      </w:r>
      <w:r>
        <w:rPr>
          <w:rFonts w:hint="eastAsia" w:ascii="仿宋" w:hAnsi="仿宋" w:eastAsia="仿宋" w:cs="Times New Roman"/>
          <w:sz w:val="32"/>
          <w:szCs w:val="32"/>
        </w:rPr>
        <w:t>一是具有本科及以上学历；</w:t>
      </w:r>
      <w:r>
        <w:rPr>
          <w:rFonts w:ascii="仿宋" w:hAnsi="仿宋" w:eastAsia="仿宋" w:cs="Times New Roman"/>
          <w:sz w:val="32"/>
          <w:szCs w:val="32"/>
        </w:rPr>
        <w:t>二是中共党员（含预备党员），或正科级及以上非中共党员领导干部</w:t>
      </w:r>
      <w:r>
        <w:rPr>
          <w:rFonts w:hint="eastAsia" w:ascii="仿宋" w:hAnsi="仿宋" w:eastAsia="仿宋" w:cs="Times New Roman"/>
          <w:sz w:val="32"/>
          <w:szCs w:val="32"/>
        </w:rPr>
        <w:t>；</w:t>
      </w:r>
      <w:r>
        <w:rPr>
          <w:rFonts w:ascii="仿宋" w:hAnsi="仿宋" w:eastAsia="仿宋" w:cs="Times New Roman"/>
          <w:sz w:val="32"/>
          <w:szCs w:val="32"/>
        </w:rPr>
        <w:t>三是具有乡科级及以上职务职级</w:t>
      </w:r>
      <w:r>
        <w:rPr>
          <w:rFonts w:hint="eastAsia" w:ascii="仿宋" w:hAnsi="仿宋" w:eastAsia="仿宋" w:cs="Times New Roman"/>
          <w:sz w:val="32"/>
          <w:szCs w:val="32"/>
        </w:rPr>
        <w:t>，</w:t>
      </w:r>
      <w:r>
        <w:rPr>
          <w:rFonts w:ascii="仿宋" w:hAnsi="仿宋" w:eastAsia="仿宋" w:cs="Times New Roman"/>
          <w:sz w:val="32"/>
          <w:szCs w:val="32"/>
        </w:rPr>
        <w:t>或具有中级及以上专业技术职称且现聘中级及以上岗位</w:t>
      </w:r>
      <w:r>
        <w:rPr>
          <w:rFonts w:hint="eastAsia" w:ascii="仿宋" w:hAnsi="仿宋" w:eastAsia="仿宋" w:cs="Times New Roman"/>
          <w:sz w:val="32"/>
          <w:szCs w:val="32"/>
        </w:rPr>
        <w:t>；</w:t>
      </w:r>
      <w:r>
        <w:rPr>
          <w:rFonts w:ascii="仿宋" w:hAnsi="仿宋" w:eastAsia="仿宋" w:cs="Times New Roman"/>
          <w:sz w:val="32"/>
          <w:szCs w:val="32"/>
        </w:rPr>
        <w:t>四是经所在单位审核同意</w:t>
      </w:r>
      <w:r>
        <w:rPr>
          <w:rFonts w:hint="eastAsia" w:ascii="仿宋" w:hAnsi="仿宋" w:eastAsia="仿宋" w:cs="Times New Roman"/>
          <w:sz w:val="32"/>
          <w:szCs w:val="32"/>
        </w:rPr>
        <w:t>，</w:t>
      </w:r>
      <w:r>
        <w:rPr>
          <w:rFonts w:ascii="仿宋" w:hAnsi="仿宋" w:eastAsia="仿宋" w:cs="Times New Roman"/>
          <w:sz w:val="32"/>
          <w:szCs w:val="32"/>
        </w:rPr>
        <w:t>能保证到校学习和在职自学</w:t>
      </w:r>
      <w:r>
        <w:rPr>
          <w:rFonts w:hint="eastAsia" w:ascii="仿宋" w:hAnsi="仿宋" w:eastAsia="仿宋" w:cs="Times New Roman"/>
          <w:sz w:val="32"/>
          <w:szCs w:val="32"/>
        </w:rPr>
        <w:t>。</w:t>
      </w:r>
      <w:r>
        <w:rPr>
          <w:rFonts w:ascii="仿宋" w:hAnsi="仿宋" w:eastAsia="仿宋" w:cs="Times New Roman"/>
          <w:sz w:val="32"/>
          <w:szCs w:val="32"/>
        </w:rPr>
        <w:t>符合报名基本条件且已取得硕士学位</w:t>
      </w:r>
      <w:r>
        <w:rPr>
          <w:rFonts w:hint="eastAsia" w:ascii="仿宋" w:hAnsi="仿宋" w:eastAsia="仿宋" w:cs="Times New Roman"/>
          <w:sz w:val="32"/>
          <w:szCs w:val="32"/>
        </w:rPr>
        <w:t>、</w:t>
      </w:r>
      <w:r>
        <w:rPr>
          <w:rFonts w:ascii="仿宋" w:hAnsi="仿宋" w:eastAsia="仿宋" w:cs="Times New Roman"/>
          <w:sz w:val="32"/>
          <w:szCs w:val="32"/>
        </w:rPr>
        <w:t>研究生毕业证书或具有正高级专业技术职称的，可免试入学。</w:t>
      </w:r>
    </w:p>
    <w:p>
      <w:pPr>
        <w:tabs>
          <w:tab w:val="left" w:pos="1276"/>
        </w:tabs>
        <w:ind w:firstLine="640" w:firstLineChars="200"/>
        <w:rPr>
          <w:rFonts w:ascii="黑体" w:hAnsi="黑体" w:eastAsia="黑体" w:cs="Times New Roman"/>
          <w:sz w:val="32"/>
          <w:szCs w:val="32"/>
        </w:rPr>
      </w:pPr>
      <w:r>
        <w:rPr>
          <w:rFonts w:hint="eastAsia" w:ascii="黑体" w:hAnsi="黑体" w:eastAsia="黑体" w:cs="Times New Roman"/>
          <w:sz w:val="32"/>
          <w:szCs w:val="32"/>
        </w:rPr>
        <w:t>三、招生办法</w:t>
      </w:r>
    </w:p>
    <w:p>
      <w:pPr>
        <w:widowControl/>
        <w:tabs>
          <w:tab w:val="left" w:pos="1276"/>
        </w:tabs>
        <w:ind w:firstLine="640" w:firstLineChars="200"/>
        <w:rPr>
          <w:rFonts w:ascii="仿宋" w:hAnsi="仿宋" w:eastAsia="仿宋" w:cs="Times New Roman"/>
          <w:sz w:val="32"/>
          <w:szCs w:val="32"/>
        </w:rPr>
      </w:pPr>
      <w:r>
        <w:rPr>
          <w:rFonts w:hint="eastAsia" w:ascii="仿宋" w:hAnsi="仿宋" w:eastAsia="仿宋" w:cs="Times New Roman"/>
          <w:sz w:val="32"/>
          <w:szCs w:val="32"/>
        </w:rPr>
        <w:t>个人申请，所在单位推荐，组织人事部门审核，参加山东省委党校（山东行政学院）统一入学考试，根据考试成绩，择优录取。</w:t>
      </w:r>
    </w:p>
    <w:p>
      <w:pPr>
        <w:tabs>
          <w:tab w:val="left" w:pos="1276"/>
        </w:tabs>
        <w:ind w:firstLine="640" w:firstLineChars="200"/>
        <w:rPr>
          <w:rFonts w:ascii="黑体" w:hAnsi="黑体" w:eastAsia="黑体" w:cs="Times New Roman"/>
          <w:sz w:val="32"/>
          <w:szCs w:val="32"/>
        </w:rPr>
      </w:pPr>
      <w:r>
        <w:rPr>
          <w:rFonts w:hint="eastAsia" w:ascii="黑体" w:hAnsi="黑体" w:eastAsia="黑体" w:cs="Times New Roman"/>
          <w:sz w:val="32"/>
          <w:szCs w:val="32"/>
        </w:rPr>
        <w:t>四、报名时间、地点和手续</w:t>
      </w:r>
    </w:p>
    <w:p>
      <w:pPr>
        <w:tabs>
          <w:tab w:val="left" w:pos="1276"/>
        </w:tabs>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报名时间</w:t>
      </w:r>
      <w:r>
        <w:rPr>
          <w:rFonts w:ascii="仿宋" w:hAnsi="仿宋" w:eastAsia="仿宋" w:cs="Times New Roman"/>
          <w:sz w:val="32"/>
          <w:szCs w:val="32"/>
        </w:rPr>
        <w:t>: 202</w:t>
      </w:r>
      <w:r>
        <w:rPr>
          <w:rFonts w:hint="eastAsia" w:ascii="仿宋" w:hAnsi="仿宋" w:eastAsia="仿宋" w:cs="Times New Roman"/>
          <w:sz w:val="32"/>
          <w:szCs w:val="32"/>
        </w:rPr>
        <w:t>2年3月15日至3月25日网上报名，额满即止。</w:t>
      </w:r>
    </w:p>
    <w:p>
      <w:pPr>
        <w:tabs>
          <w:tab w:val="left" w:pos="1276"/>
        </w:tabs>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报名方式、地点和手续</w:t>
      </w:r>
      <w:r>
        <w:rPr>
          <w:rFonts w:ascii="仿宋" w:hAnsi="仿宋" w:eastAsia="仿宋" w:cs="Times New Roman"/>
          <w:sz w:val="32"/>
          <w:szCs w:val="32"/>
        </w:rPr>
        <w:t>:202</w:t>
      </w:r>
      <w:r>
        <w:rPr>
          <w:rFonts w:hint="eastAsia" w:ascii="仿宋" w:hAnsi="仿宋" w:eastAsia="仿宋" w:cs="Times New Roman"/>
          <w:sz w:val="32"/>
          <w:szCs w:val="32"/>
        </w:rPr>
        <w:t>2年报名工作继续采取网上报名方式进行，从报名到考试主要有以下步骤</w:t>
      </w:r>
      <w:r>
        <w:rPr>
          <w:rFonts w:ascii="仿宋" w:hAnsi="仿宋" w:eastAsia="仿宋" w:cs="Times New Roman"/>
          <w:sz w:val="32"/>
          <w:szCs w:val="32"/>
        </w:rPr>
        <w:t>:</w:t>
      </w:r>
    </w:p>
    <w:p>
      <w:pPr>
        <w:tabs>
          <w:tab w:val="left" w:pos="1276"/>
        </w:tabs>
        <w:ind w:firstLine="480" w:firstLineChars="15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1</w:t>
      </w:r>
      <w:r>
        <w:rPr>
          <w:rFonts w:hint="eastAsia" w:ascii="仿宋" w:hAnsi="仿宋" w:eastAsia="仿宋" w:cs="Times New Roman"/>
          <w:sz w:val="32"/>
          <w:szCs w:val="32"/>
        </w:rPr>
        <w:t>）电话咨询。报考人员向兖矿分院电话咨询，由兖矿分院对其资格进行电话初审，</w:t>
      </w:r>
      <w:r>
        <w:rPr>
          <w:rFonts w:ascii="仿宋" w:hAnsi="仿宋" w:eastAsia="仿宋" w:cs="Times New Roman"/>
          <w:sz w:val="32"/>
          <w:szCs w:val="32"/>
        </w:rPr>
        <w:t>符合条件的由工作人员登记姓名、身份证号、手机号后开通报名账号。</w:t>
      </w:r>
      <w:r>
        <w:rPr>
          <w:rFonts w:hint="eastAsia" w:ascii="仿宋" w:hAnsi="仿宋" w:eastAsia="仿宋" w:cs="Times New Roman"/>
          <w:sz w:val="32"/>
          <w:szCs w:val="32"/>
        </w:rPr>
        <w:t>然后，通过短信通知报考人员。</w:t>
      </w:r>
    </w:p>
    <w:p>
      <w:pPr>
        <w:tabs>
          <w:tab w:val="left" w:pos="1276"/>
        </w:tabs>
        <w:ind w:firstLine="480" w:firstLineChars="15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w:t>
      </w:r>
      <w:r>
        <w:rPr>
          <w:rFonts w:hint="eastAsia" w:ascii="仿宋" w:hAnsi="仿宋" w:eastAsia="仿宋" w:cs="Times New Roman"/>
          <w:sz w:val="32"/>
          <w:szCs w:val="32"/>
        </w:rPr>
        <w:t>）网上填报。</w:t>
      </w:r>
      <w:r>
        <w:rPr>
          <w:rFonts w:ascii="仿宋" w:hAnsi="仿宋" w:eastAsia="仿宋" w:cs="Times New Roman"/>
          <w:sz w:val="32"/>
          <w:szCs w:val="32"/>
        </w:rPr>
        <w:t>开通报名账号</w:t>
      </w:r>
      <w:r>
        <w:rPr>
          <w:rFonts w:hint="eastAsia" w:ascii="仿宋" w:hAnsi="仿宋" w:eastAsia="仿宋" w:cs="Times New Roman"/>
          <w:sz w:val="32"/>
          <w:szCs w:val="32"/>
        </w:rPr>
        <w:t>的报考人员根据短信提示登录网上报名系统，填写个人信息并上传有关材料。</w:t>
      </w:r>
    </w:p>
    <w:p>
      <w:pPr>
        <w:tabs>
          <w:tab w:val="left" w:pos="1276"/>
        </w:tabs>
        <w:ind w:firstLine="480" w:firstLineChars="15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3</w:t>
      </w:r>
      <w:r>
        <w:rPr>
          <w:rFonts w:hint="eastAsia" w:ascii="仿宋" w:hAnsi="仿宋" w:eastAsia="仿宋" w:cs="Times New Roman"/>
          <w:sz w:val="32"/>
          <w:szCs w:val="32"/>
        </w:rPr>
        <w:t>）分院初审。兖矿分院对考生填报的信息进行逐项初步审核，然后短信通知考生审核结果。审核通过的进入下一步；材料不全的要求其登录系统填全信息或补齐材料照片；不合格的通知其初步审核未通过。</w:t>
      </w:r>
    </w:p>
    <w:p>
      <w:pPr>
        <w:tabs>
          <w:tab w:val="left" w:pos="1276"/>
        </w:tabs>
        <w:ind w:firstLine="480" w:firstLineChars="15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4</w:t>
      </w:r>
      <w:r>
        <w:rPr>
          <w:rFonts w:hint="eastAsia" w:ascii="仿宋" w:hAnsi="仿宋" w:eastAsia="仿宋" w:cs="Times New Roman"/>
          <w:sz w:val="32"/>
          <w:szCs w:val="32"/>
        </w:rPr>
        <w:t>）打印报表。经兖矿分院初步审核通过的考生，登录报名系统打印“介绍信及党员关系证明信”</w:t>
      </w:r>
      <w:r>
        <w:rPr>
          <w:rFonts w:ascii="仿宋" w:hAnsi="仿宋" w:eastAsia="仿宋" w:cs="Times New Roman"/>
          <w:sz w:val="32"/>
          <w:szCs w:val="32"/>
        </w:rPr>
        <w:t>1</w:t>
      </w:r>
      <w:r>
        <w:rPr>
          <w:rFonts w:hint="eastAsia" w:ascii="仿宋" w:hAnsi="仿宋" w:eastAsia="仿宋" w:cs="Times New Roman"/>
          <w:sz w:val="32"/>
          <w:szCs w:val="32"/>
        </w:rPr>
        <w:t>份、“报名登记表”</w:t>
      </w:r>
      <w:r>
        <w:rPr>
          <w:rFonts w:ascii="仿宋" w:hAnsi="仿宋" w:eastAsia="仿宋" w:cs="Times New Roman"/>
          <w:sz w:val="32"/>
          <w:szCs w:val="32"/>
        </w:rPr>
        <w:t>3</w:t>
      </w:r>
      <w:r>
        <w:rPr>
          <w:rFonts w:hint="eastAsia" w:ascii="仿宋" w:hAnsi="仿宋" w:eastAsia="仿宋" w:cs="Times New Roman"/>
          <w:sz w:val="32"/>
          <w:szCs w:val="32"/>
        </w:rPr>
        <w:t>份</w:t>
      </w:r>
      <w:r>
        <w:rPr>
          <w:rFonts w:ascii="仿宋" w:hAnsi="仿宋" w:eastAsia="仿宋" w:cs="Times New Roman"/>
          <w:sz w:val="32"/>
          <w:szCs w:val="32"/>
        </w:rPr>
        <w:t>(</w:t>
      </w:r>
      <w:r>
        <w:rPr>
          <w:rFonts w:hint="eastAsia" w:ascii="仿宋" w:hAnsi="仿宋" w:eastAsia="仿宋" w:cs="Times New Roman"/>
          <w:sz w:val="32"/>
          <w:szCs w:val="32"/>
        </w:rPr>
        <w:t>报名登记表要求照片、文字清晰打印</w:t>
      </w:r>
      <w:r>
        <w:rPr>
          <w:rFonts w:ascii="仿宋" w:hAnsi="仿宋" w:eastAsia="仿宋" w:cs="Times New Roman"/>
          <w:sz w:val="32"/>
          <w:szCs w:val="32"/>
        </w:rPr>
        <w:t>)</w:t>
      </w:r>
      <w:r>
        <w:rPr>
          <w:rFonts w:hint="eastAsia" w:ascii="仿宋" w:hAnsi="仿宋" w:eastAsia="仿宋" w:cs="Times New Roman"/>
          <w:sz w:val="32"/>
          <w:szCs w:val="32"/>
        </w:rPr>
        <w:t>，经单位或组织人事部门审核盖章后，登录报名系统上传介绍信和党员关系证明信照片（报名表因还需要兖矿党校、省院审核盖章，不上传）。</w:t>
      </w:r>
    </w:p>
    <w:p>
      <w:pPr>
        <w:tabs>
          <w:tab w:val="left" w:pos="1276"/>
        </w:tabs>
        <w:ind w:firstLine="480" w:firstLineChars="15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5</w:t>
      </w:r>
      <w:r>
        <w:rPr>
          <w:rFonts w:hint="eastAsia" w:ascii="仿宋" w:hAnsi="仿宋" w:eastAsia="仿宋" w:cs="Times New Roman"/>
          <w:sz w:val="32"/>
          <w:szCs w:val="32"/>
        </w:rPr>
        <w:t>）现场报名。考生持打印好的表格材料，连同证书材料原件一起到兖矿分院办理报名手续。由兖矿分院对全部证书材料原件进行审核，审核通过后收取报名费，发放复习资料。</w:t>
      </w:r>
    </w:p>
    <w:p>
      <w:pPr>
        <w:tabs>
          <w:tab w:val="left" w:pos="1276"/>
        </w:tabs>
        <w:ind w:firstLine="480" w:firstLineChars="15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6</w:t>
      </w:r>
      <w:r>
        <w:rPr>
          <w:rFonts w:hint="eastAsia" w:ascii="仿宋" w:hAnsi="仿宋" w:eastAsia="仿宋" w:cs="Times New Roman"/>
          <w:sz w:val="32"/>
          <w:szCs w:val="32"/>
        </w:rPr>
        <w:t>）省院终审。兖矿分院在全部报名结束后，携带综合登记表、报名登记表、毕业证书、任职文件、其它材料的原件到省院进行资格终审。终审结束后，短信通知考生登录系统打印准考证。</w:t>
      </w:r>
    </w:p>
    <w:p>
      <w:pPr>
        <w:tabs>
          <w:tab w:val="left" w:pos="1276"/>
        </w:tabs>
        <w:ind w:firstLine="489" w:firstLineChars="153"/>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7</w:t>
      </w:r>
      <w:r>
        <w:rPr>
          <w:rFonts w:hint="eastAsia" w:ascii="仿宋" w:hAnsi="仿宋" w:eastAsia="仿宋" w:cs="Times New Roman"/>
          <w:sz w:val="32"/>
          <w:szCs w:val="32"/>
        </w:rPr>
        <w:t>）入学考试。考生持自行打印的准考证到指定考点参加入学考试。</w:t>
      </w:r>
    </w:p>
    <w:p>
      <w:pPr>
        <w:tabs>
          <w:tab w:val="left" w:pos="1276"/>
        </w:tabs>
        <w:ind w:firstLine="640" w:firstLineChars="200"/>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报名费用</w:t>
      </w:r>
      <w:r>
        <w:rPr>
          <w:rFonts w:ascii="仿宋" w:hAnsi="仿宋" w:eastAsia="仿宋" w:cs="Times New Roman"/>
          <w:sz w:val="32"/>
          <w:szCs w:val="32"/>
        </w:rPr>
        <w:t>:</w:t>
      </w:r>
      <w:r>
        <w:rPr>
          <w:rFonts w:hint="eastAsia" w:ascii="仿宋" w:hAnsi="仿宋" w:eastAsia="仿宋" w:cs="Times New Roman"/>
          <w:sz w:val="32"/>
          <w:szCs w:val="32"/>
        </w:rPr>
        <w:t>根据有关规定，在职干部研究生报名费、复习资料费共200元。</w:t>
      </w:r>
    </w:p>
    <w:p>
      <w:pPr>
        <w:tabs>
          <w:tab w:val="left" w:pos="1276"/>
        </w:tabs>
        <w:ind w:firstLine="640" w:firstLineChars="200"/>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报名者必须如实填报个人信息，学历、政治面貌、职务、职称等，以截止到报名时的情况为准，并由组织人事部门审核加盖公章。对弄虚作假者，一经发现立即取消报名和考试资格，已经入学的开除学籍，并向其所在单位或纪检监察、组织人事部门通报。</w:t>
      </w:r>
    </w:p>
    <w:p>
      <w:pPr>
        <w:tabs>
          <w:tab w:val="left" w:pos="1276"/>
        </w:tabs>
        <w:ind w:firstLine="640" w:firstLineChars="200"/>
        <w:rPr>
          <w:rFonts w:ascii="黑体" w:hAnsi="黑体" w:eastAsia="黑体" w:cs="Times New Roman"/>
          <w:sz w:val="32"/>
          <w:szCs w:val="32"/>
        </w:rPr>
      </w:pPr>
      <w:r>
        <w:rPr>
          <w:rFonts w:hint="eastAsia" w:ascii="黑体" w:hAnsi="黑体" w:eastAsia="黑体" w:cs="Times New Roman"/>
          <w:sz w:val="32"/>
          <w:szCs w:val="32"/>
        </w:rPr>
        <w:t>五、考试科目、时间和地点</w:t>
      </w:r>
    </w:p>
    <w:p>
      <w:pPr>
        <w:tabs>
          <w:tab w:val="left" w:pos="1276"/>
        </w:tabs>
        <w:ind w:firstLine="566" w:firstLineChars="177"/>
        <w:rPr>
          <w:rFonts w:ascii="仿宋" w:hAnsi="仿宋" w:eastAsia="仿宋" w:cs="Times New Roman"/>
          <w:sz w:val="32"/>
          <w:szCs w:val="32"/>
        </w:rPr>
      </w:pPr>
      <w:r>
        <w:rPr>
          <w:rFonts w:hint="eastAsia" w:ascii="仿宋" w:hAnsi="仿宋" w:eastAsia="仿宋" w:cs="Times New Roman"/>
          <w:sz w:val="32"/>
          <w:szCs w:val="32"/>
        </w:rPr>
        <w:t>1.考试科目</w:t>
      </w:r>
    </w:p>
    <w:p>
      <w:pPr>
        <w:tabs>
          <w:tab w:val="left" w:pos="1276"/>
        </w:tabs>
        <w:spacing w:line="420" w:lineRule="exact"/>
        <w:ind w:firstLine="566" w:firstLineChars="177"/>
        <w:rPr>
          <w:rFonts w:ascii="仿宋" w:hAnsi="仿宋" w:eastAsia="仿宋" w:cs="Times New Roman"/>
          <w:sz w:val="32"/>
          <w:szCs w:val="32"/>
        </w:rPr>
      </w:pPr>
      <w:r>
        <w:rPr>
          <w:rFonts w:hint="eastAsia" w:ascii="仿宋" w:hAnsi="仿宋" w:eastAsia="仿宋" w:cs="Times New Roman"/>
          <w:sz w:val="32"/>
          <w:szCs w:val="32"/>
        </w:rPr>
        <w:t>经济管理专业：政治理论、现代管理学</w:t>
      </w:r>
    </w:p>
    <w:p>
      <w:pPr>
        <w:tabs>
          <w:tab w:val="left" w:pos="1276"/>
        </w:tabs>
        <w:spacing w:line="420" w:lineRule="exact"/>
        <w:ind w:firstLine="566" w:firstLineChars="177"/>
        <w:rPr>
          <w:rFonts w:ascii="仿宋" w:hAnsi="仿宋" w:eastAsia="仿宋" w:cs="Times New Roman"/>
          <w:sz w:val="32"/>
          <w:szCs w:val="32"/>
        </w:rPr>
      </w:pPr>
      <w:r>
        <w:rPr>
          <w:rFonts w:hint="eastAsia" w:ascii="仿宋" w:hAnsi="仿宋" w:eastAsia="仿宋" w:cs="Times New Roman"/>
          <w:sz w:val="32"/>
          <w:szCs w:val="32"/>
        </w:rPr>
        <w:t>法学理论专业：政治理论、法理学</w:t>
      </w:r>
    </w:p>
    <w:p>
      <w:pPr>
        <w:ind w:firstLine="640" w:firstLineChars="200"/>
        <w:rPr>
          <w:rFonts w:ascii="楷体_GB2312" w:hAnsi="仿宋" w:eastAsia="楷体_GB2312" w:cs="Times New Roman"/>
          <w:b/>
          <w:sz w:val="32"/>
          <w:szCs w:val="32"/>
        </w:rPr>
      </w:pPr>
      <w:r>
        <w:rPr>
          <w:rFonts w:ascii="仿宋" w:hAnsi="仿宋" w:eastAsia="仿宋" w:cs="Times New Roman"/>
          <w:sz w:val="32"/>
          <w:szCs w:val="32"/>
        </w:rPr>
        <w:t>2.</w:t>
      </w:r>
      <w:r>
        <w:rPr>
          <w:rFonts w:hint="eastAsia" w:ascii="仿宋" w:hAnsi="仿宋" w:eastAsia="仿宋" w:cs="Times New Roman"/>
          <w:sz w:val="32"/>
          <w:szCs w:val="32"/>
        </w:rPr>
        <w:t>考试时间</w:t>
      </w:r>
      <w:r>
        <w:rPr>
          <w:rFonts w:ascii="仿宋" w:hAnsi="仿宋" w:eastAsia="仿宋" w:cs="Times New Roman"/>
          <w:sz w:val="32"/>
          <w:szCs w:val="32"/>
        </w:rPr>
        <w:t>: 202</w:t>
      </w:r>
      <w:r>
        <w:rPr>
          <w:rFonts w:hint="eastAsia" w:ascii="仿宋" w:hAnsi="仿宋" w:eastAsia="仿宋" w:cs="Times New Roman"/>
          <w:sz w:val="32"/>
          <w:szCs w:val="32"/>
        </w:rPr>
        <w:t>2年</w:t>
      </w:r>
      <w:r>
        <w:rPr>
          <w:rFonts w:ascii="仿宋" w:hAnsi="仿宋" w:eastAsia="仿宋" w:cs="Times New Roman"/>
          <w:sz w:val="32"/>
          <w:szCs w:val="32"/>
        </w:rPr>
        <w:t>5</w:t>
      </w:r>
      <w:r>
        <w:rPr>
          <w:rFonts w:hint="eastAsia" w:ascii="仿宋" w:hAnsi="仿宋" w:eastAsia="仿宋" w:cs="Times New Roman"/>
          <w:sz w:val="32"/>
          <w:szCs w:val="32"/>
        </w:rPr>
        <w:t>月28日（如有变化，另行通知）</w:t>
      </w:r>
    </w:p>
    <w:p>
      <w:pPr>
        <w:pStyle w:val="2"/>
        <w:tabs>
          <w:tab w:val="left" w:pos="1276"/>
        </w:tabs>
        <w:ind w:firstLine="640" w:firstLineChars="200"/>
        <w:rPr>
          <w:rFonts w:ascii="仿宋" w:hAnsi="仿宋" w:eastAsia="仿宋"/>
          <w:sz w:val="32"/>
          <w:szCs w:val="32"/>
        </w:rPr>
      </w:pPr>
      <w:r>
        <w:rPr>
          <w:rFonts w:hint="eastAsia" w:ascii="仿宋" w:hAnsi="仿宋" w:eastAsia="仿宋"/>
          <w:sz w:val="32"/>
          <w:szCs w:val="32"/>
        </w:rPr>
        <w:t>具体时间安排如下：</w:t>
      </w:r>
    </w:p>
    <w:tbl>
      <w:tblPr>
        <w:tblStyle w:val="6"/>
        <w:tblW w:w="9056" w:type="dxa"/>
        <w:jc w:val="center"/>
        <w:tblLayout w:type="autofit"/>
        <w:tblCellMar>
          <w:top w:w="0" w:type="dxa"/>
          <w:left w:w="108" w:type="dxa"/>
          <w:bottom w:w="0" w:type="dxa"/>
          <w:right w:w="108" w:type="dxa"/>
        </w:tblCellMar>
      </w:tblPr>
      <w:tblGrid>
        <w:gridCol w:w="1968"/>
        <w:gridCol w:w="2197"/>
        <w:gridCol w:w="2342"/>
        <w:gridCol w:w="2549"/>
      </w:tblGrid>
      <w:tr>
        <w:tblPrEx>
          <w:tblCellMar>
            <w:top w:w="0" w:type="dxa"/>
            <w:left w:w="108" w:type="dxa"/>
            <w:bottom w:w="0" w:type="dxa"/>
            <w:right w:w="108" w:type="dxa"/>
          </w:tblCellMar>
        </w:tblPrEx>
        <w:trPr>
          <w:trHeight w:val="567" w:hRule="atLeast"/>
          <w:jc w:val="center"/>
        </w:trPr>
        <w:tc>
          <w:tcPr>
            <w:tcW w:w="1968" w:type="dxa"/>
            <w:vMerge w:val="restart"/>
            <w:tcBorders>
              <w:top w:val="single" w:color="auto" w:sz="4" w:space="0"/>
              <w:left w:val="single" w:color="auto" w:sz="4" w:space="0"/>
              <w:bottom w:val="single" w:color="auto" w:sz="4" w:space="0"/>
              <w:right w:val="single" w:color="auto" w:sz="4" w:space="0"/>
            </w:tcBorders>
            <w:vAlign w:val="center"/>
          </w:tcPr>
          <w:p>
            <w:pPr>
              <w:pStyle w:val="2"/>
              <w:tabs>
                <w:tab w:val="left" w:pos="1276"/>
              </w:tabs>
              <w:ind w:firstLine="315" w:firstLineChars="150"/>
              <w:rPr>
                <w:rFonts w:ascii="仿宋" w:hAnsi="仿宋" w:eastAsia="仿宋"/>
                <w:szCs w:val="21"/>
              </w:rPr>
            </w:pPr>
            <w:r>
              <w:rPr>
                <w:rFonts w:hint="eastAsia" w:ascii="仿宋" w:hAnsi="仿宋" w:eastAsia="仿宋"/>
                <w:szCs w:val="21"/>
              </w:rPr>
              <w:t>考试日期</w:t>
            </w:r>
          </w:p>
        </w:tc>
        <w:tc>
          <w:tcPr>
            <w:tcW w:w="2197" w:type="dxa"/>
            <w:vMerge w:val="restart"/>
            <w:tcBorders>
              <w:top w:val="single" w:color="auto" w:sz="4" w:space="0"/>
              <w:left w:val="single" w:color="auto" w:sz="4" w:space="0"/>
              <w:right w:val="single" w:color="auto" w:sz="4" w:space="0"/>
            </w:tcBorders>
            <w:vAlign w:val="center"/>
          </w:tcPr>
          <w:p>
            <w:pPr>
              <w:pStyle w:val="2"/>
              <w:tabs>
                <w:tab w:val="left" w:pos="1276"/>
              </w:tabs>
              <w:ind w:firstLine="525" w:firstLineChars="250"/>
              <w:rPr>
                <w:rFonts w:ascii="仿宋" w:hAnsi="仿宋" w:eastAsia="仿宋"/>
                <w:szCs w:val="21"/>
              </w:rPr>
            </w:pPr>
            <w:r>
              <w:rPr>
                <w:rFonts w:hint="eastAsia" w:ascii="仿宋" w:hAnsi="仿宋" w:eastAsia="仿宋"/>
                <w:szCs w:val="21"/>
              </w:rPr>
              <w:t>考试时间</w:t>
            </w:r>
          </w:p>
        </w:tc>
        <w:tc>
          <w:tcPr>
            <w:tcW w:w="4891" w:type="dxa"/>
            <w:gridSpan w:val="2"/>
            <w:tcBorders>
              <w:top w:val="single" w:color="auto" w:sz="4" w:space="0"/>
              <w:left w:val="single" w:color="auto" w:sz="4" w:space="0"/>
              <w:bottom w:val="single" w:color="auto" w:sz="4" w:space="0"/>
              <w:right w:val="single" w:color="auto" w:sz="4" w:space="0"/>
            </w:tcBorders>
            <w:vAlign w:val="center"/>
          </w:tcPr>
          <w:p>
            <w:pPr>
              <w:pStyle w:val="2"/>
              <w:tabs>
                <w:tab w:val="left" w:pos="1276"/>
              </w:tabs>
              <w:ind w:firstLine="1680" w:firstLineChars="800"/>
              <w:rPr>
                <w:rFonts w:ascii="仿宋" w:hAnsi="仿宋" w:eastAsia="仿宋"/>
                <w:szCs w:val="21"/>
              </w:rPr>
            </w:pPr>
            <w:r>
              <w:rPr>
                <w:rFonts w:hint="eastAsia" w:ascii="仿宋" w:hAnsi="仿宋" w:eastAsia="仿宋"/>
                <w:szCs w:val="21"/>
              </w:rPr>
              <w:t>考试科目</w:t>
            </w:r>
          </w:p>
        </w:tc>
      </w:tr>
      <w:tr>
        <w:tblPrEx>
          <w:tblCellMar>
            <w:top w:w="0" w:type="dxa"/>
            <w:left w:w="108" w:type="dxa"/>
            <w:bottom w:w="0" w:type="dxa"/>
            <w:right w:w="108" w:type="dxa"/>
          </w:tblCellMar>
        </w:tblPrEx>
        <w:trPr>
          <w:trHeight w:val="740" w:hRule="atLeast"/>
          <w:jc w:val="center"/>
        </w:trPr>
        <w:tc>
          <w:tcPr>
            <w:tcW w:w="1968" w:type="dxa"/>
            <w:vMerge w:val="continue"/>
            <w:tcBorders>
              <w:top w:val="single" w:color="auto" w:sz="4" w:space="0"/>
              <w:left w:val="single" w:color="auto" w:sz="4" w:space="0"/>
              <w:bottom w:val="single" w:color="auto" w:sz="4" w:space="0"/>
              <w:right w:val="single" w:color="auto" w:sz="4" w:space="0"/>
            </w:tcBorders>
            <w:vAlign w:val="center"/>
          </w:tcPr>
          <w:p>
            <w:pPr>
              <w:pStyle w:val="2"/>
              <w:tabs>
                <w:tab w:val="left" w:pos="1276"/>
              </w:tabs>
              <w:ind w:firstLine="420" w:firstLineChars="200"/>
              <w:rPr>
                <w:rFonts w:ascii="仿宋" w:hAnsi="仿宋" w:eastAsia="仿宋"/>
                <w:szCs w:val="21"/>
              </w:rPr>
            </w:pPr>
          </w:p>
        </w:tc>
        <w:tc>
          <w:tcPr>
            <w:tcW w:w="2197" w:type="dxa"/>
            <w:vMerge w:val="continue"/>
            <w:tcBorders>
              <w:left w:val="single" w:color="auto" w:sz="4" w:space="0"/>
              <w:bottom w:val="single" w:color="auto" w:sz="4" w:space="0"/>
              <w:right w:val="single" w:color="auto" w:sz="4" w:space="0"/>
            </w:tcBorders>
            <w:vAlign w:val="center"/>
          </w:tcPr>
          <w:p>
            <w:pPr>
              <w:pStyle w:val="2"/>
              <w:tabs>
                <w:tab w:val="left" w:pos="1276"/>
              </w:tabs>
              <w:ind w:firstLine="420" w:firstLineChars="200"/>
              <w:rPr>
                <w:rFonts w:ascii="仿宋" w:hAnsi="仿宋" w:eastAsia="仿宋"/>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pStyle w:val="2"/>
              <w:tabs>
                <w:tab w:val="left" w:pos="1276"/>
              </w:tabs>
              <w:ind w:firstLine="420" w:firstLineChars="200"/>
              <w:rPr>
                <w:rFonts w:ascii="仿宋" w:hAnsi="仿宋" w:eastAsia="仿宋"/>
                <w:szCs w:val="21"/>
              </w:rPr>
            </w:pPr>
            <w:r>
              <w:rPr>
                <w:rFonts w:hint="eastAsia" w:ascii="仿宋" w:hAnsi="仿宋" w:eastAsia="仿宋"/>
                <w:szCs w:val="21"/>
              </w:rPr>
              <w:t>经济管理专业</w:t>
            </w:r>
          </w:p>
        </w:tc>
        <w:tc>
          <w:tcPr>
            <w:tcW w:w="2549" w:type="dxa"/>
            <w:tcBorders>
              <w:top w:val="single" w:color="auto" w:sz="4" w:space="0"/>
              <w:left w:val="single" w:color="auto" w:sz="4" w:space="0"/>
              <w:bottom w:val="single" w:color="auto" w:sz="4" w:space="0"/>
              <w:right w:val="single" w:color="auto" w:sz="4" w:space="0"/>
            </w:tcBorders>
            <w:vAlign w:val="center"/>
          </w:tcPr>
          <w:p>
            <w:pPr>
              <w:pStyle w:val="2"/>
              <w:tabs>
                <w:tab w:val="left" w:pos="1276"/>
              </w:tabs>
              <w:ind w:firstLine="420" w:firstLineChars="200"/>
              <w:rPr>
                <w:rFonts w:ascii="仿宋" w:hAnsi="仿宋" w:eastAsia="仿宋"/>
                <w:szCs w:val="21"/>
              </w:rPr>
            </w:pPr>
            <w:r>
              <w:rPr>
                <w:rFonts w:hint="eastAsia" w:ascii="仿宋" w:hAnsi="仿宋" w:eastAsia="仿宋"/>
                <w:szCs w:val="21"/>
              </w:rPr>
              <w:t>法学理论专业</w:t>
            </w:r>
          </w:p>
        </w:tc>
      </w:tr>
      <w:tr>
        <w:tblPrEx>
          <w:tblCellMar>
            <w:top w:w="0" w:type="dxa"/>
            <w:left w:w="108" w:type="dxa"/>
            <w:bottom w:w="0" w:type="dxa"/>
            <w:right w:w="108" w:type="dxa"/>
          </w:tblCellMar>
        </w:tblPrEx>
        <w:trPr>
          <w:trHeight w:val="622" w:hRule="atLeast"/>
          <w:jc w:val="center"/>
        </w:trPr>
        <w:tc>
          <w:tcPr>
            <w:tcW w:w="1968" w:type="dxa"/>
            <w:vMerge w:val="restart"/>
            <w:tcBorders>
              <w:top w:val="single" w:color="auto" w:sz="4" w:space="0"/>
              <w:left w:val="single" w:color="auto" w:sz="4" w:space="0"/>
              <w:bottom w:val="single" w:color="auto" w:sz="4" w:space="0"/>
              <w:right w:val="single" w:color="auto" w:sz="4" w:space="0"/>
            </w:tcBorders>
            <w:vAlign w:val="center"/>
          </w:tcPr>
          <w:p>
            <w:pPr>
              <w:pStyle w:val="2"/>
              <w:tabs>
                <w:tab w:val="left" w:pos="1276"/>
              </w:tabs>
              <w:rPr>
                <w:rFonts w:ascii="仿宋" w:hAnsi="仿宋" w:eastAsia="仿宋"/>
                <w:szCs w:val="21"/>
              </w:rPr>
            </w:pPr>
            <w:r>
              <w:rPr>
                <w:rFonts w:ascii="仿宋" w:hAnsi="仿宋" w:eastAsia="仿宋"/>
                <w:szCs w:val="21"/>
              </w:rPr>
              <w:t>202</w:t>
            </w:r>
            <w:r>
              <w:rPr>
                <w:rFonts w:hint="eastAsia" w:ascii="仿宋" w:hAnsi="仿宋" w:eastAsia="仿宋"/>
                <w:szCs w:val="21"/>
              </w:rPr>
              <w:t>2年</w:t>
            </w:r>
            <w:r>
              <w:rPr>
                <w:rFonts w:ascii="仿宋" w:hAnsi="仿宋" w:eastAsia="仿宋"/>
                <w:szCs w:val="21"/>
              </w:rPr>
              <w:t>5</w:t>
            </w:r>
            <w:r>
              <w:rPr>
                <w:rFonts w:hint="eastAsia" w:ascii="仿宋" w:hAnsi="仿宋" w:eastAsia="仿宋"/>
                <w:szCs w:val="21"/>
              </w:rPr>
              <w:t>月28日</w:t>
            </w:r>
          </w:p>
        </w:tc>
        <w:tc>
          <w:tcPr>
            <w:tcW w:w="2197" w:type="dxa"/>
            <w:tcBorders>
              <w:top w:val="single" w:color="auto" w:sz="4" w:space="0"/>
              <w:left w:val="single" w:color="auto" w:sz="4" w:space="0"/>
              <w:bottom w:val="single" w:color="auto" w:sz="4" w:space="0"/>
              <w:right w:val="single" w:color="auto" w:sz="4" w:space="0"/>
            </w:tcBorders>
            <w:vAlign w:val="center"/>
          </w:tcPr>
          <w:p>
            <w:pPr>
              <w:pStyle w:val="2"/>
              <w:tabs>
                <w:tab w:val="left" w:pos="1276"/>
              </w:tabs>
              <w:ind w:firstLine="315" w:firstLineChars="150"/>
              <w:rPr>
                <w:rFonts w:ascii="仿宋" w:hAnsi="仿宋" w:eastAsia="仿宋"/>
                <w:szCs w:val="21"/>
              </w:rPr>
            </w:pPr>
            <w:r>
              <w:rPr>
                <w:rFonts w:ascii="仿宋" w:hAnsi="仿宋" w:eastAsia="仿宋"/>
                <w:szCs w:val="21"/>
              </w:rPr>
              <w:t>9:00</w:t>
            </w:r>
            <w:r>
              <w:rPr>
                <w:rFonts w:hint="eastAsia" w:ascii="仿宋" w:hAnsi="仿宋" w:eastAsia="仿宋"/>
                <w:szCs w:val="21"/>
              </w:rPr>
              <w:t>－</w:t>
            </w:r>
            <w:r>
              <w:rPr>
                <w:rFonts w:ascii="仿宋" w:hAnsi="仿宋" w:eastAsia="仿宋"/>
                <w:szCs w:val="21"/>
              </w:rPr>
              <w:t>11:30</w:t>
            </w:r>
          </w:p>
        </w:tc>
        <w:tc>
          <w:tcPr>
            <w:tcW w:w="4891" w:type="dxa"/>
            <w:gridSpan w:val="2"/>
            <w:tcBorders>
              <w:top w:val="single" w:color="auto" w:sz="4" w:space="0"/>
              <w:left w:val="single" w:color="auto" w:sz="4" w:space="0"/>
              <w:bottom w:val="single" w:color="auto" w:sz="4" w:space="0"/>
              <w:right w:val="single" w:color="auto" w:sz="4" w:space="0"/>
            </w:tcBorders>
            <w:vAlign w:val="center"/>
          </w:tcPr>
          <w:p>
            <w:pPr>
              <w:pStyle w:val="2"/>
              <w:tabs>
                <w:tab w:val="left" w:pos="1276"/>
              </w:tabs>
              <w:jc w:val="center"/>
              <w:rPr>
                <w:rFonts w:ascii="仿宋" w:hAnsi="仿宋" w:eastAsia="仿宋"/>
                <w:szCs w:val="21"/>
              </w:rPr>
            </w:pPr>
            <w:r>
              <w:rPr>
                <w:rFonts w:hint="eastAsia" w:ascii="仿宋" w:hAnsi="仿宋" w:eastAsia="仿宋"/>
                <w:szCs w:val="21"/>
              </w:rPr>
              <w:t>政治理论</w:t>
            </w:r>
          </w:p>
        </w:tc>
      </w:tr>
      <w:tr>
        <w:tblPrEx>
          <w:tblCellMar>
            <w:top w:w="0" w:type="dxa"/>
            <w:left w:w="108" w:type="dxa"/>
            <w:bottom w:w="0" w:type="dxa"/>
            <w:right w:w="108" w:type="dxa"/>
          </w:tblCellMar>
        </w:tblPrEx>
        <w:trPr>
          <w:trHeight w:val="613" w:hRule="atLeast"/>
          <w:jc w:val="center"/>
        </w:trPr>
        <w:tc>
          <w:tcPr>
            <w:tcW w:w="1968" w:type="dxa"/>
            <w:vMerge w:val="continue"/>
            <w:tcBorders>
              <w:top w:val="single" w:color="auto" w:sz="4" w:space="0"/>
              <w:left w:val="single" w:color="auto" w:sz="4" w:space="0"/>
              <w:bottom w:val="single" w:color="auto" w:sz="4" w:space="0"/>
              <w:right w:val="single" w:color="auto" w:sz="4" w:space="0"/>
            </w:tcBorders>
            <w:vAlign w:val="center"/>
          </w:tcPr>
          <w:p>
            <w:pPr>
              <w:pStyle w:val="2"/>
              <w:tabs>
                <w:tab w:val="left" w:pos="1276"/>
              </w:tabs>
              <w:ind w:firstLine="420" w:firstLineChars="200"/>
              <w:rPr>
                <w:rFonts w:ascii="仿宋" w:hAnsi="仿宋" w:eastAsia="仿宋"/>
                <w:szCs w:val="21"/>
              </w:rPr>
            </w:pPr>
          </w:p>
        </w:tc>
        <w:tc>
          <w:tcPr>
            <w:tcW w:w="2197" w:type="dxa"/>
            <w:tcBorders>
              <w:top w:val="single" w:color="auto" w:sz="4" w:space="0"/>
              <w:left w:val="single" w:color="auto" w:sz="4" w:space="0"/>
              <w:bottom w:val="single" w:color="auto" w:sz="4" w:space="0"/>
              <w:right w:val="single" w:color="auto" w:sz="4" w:space="0"/>
            </w:tcBorders>
            <w:vAlign w:val="center"/>
          </w:tcPr>
          <w:p>
            <w:pPr>
              <w:pStyle w:val="2"/>
              <w:tabs>
                <w:tab w:val="left" w:pos="1276"/>
              </w:tabs>
              <w:ind w:firstLine="315" w:firstLineChars="150"/>
              <w:rPr>
                <w:rFonts w:ascii="仿宋" w:hAnsi="仿宋" w:eastAsia="仿宋"/>
                <w:szCs w:val="21"/>
              </w:rPr>
            </w:pPr>
            <w:r>
              <w:rPr>
                <w:rFonts w:ascii="仿宋" w:hAnsi="仿宋" w:eastAsia="仿宋"/>
                <w:szCs w:val="21"/>
              </w:rPr>
              <w:t>14:0</w:t>
            </w:r>
            <w:r>
              <w:rPr>
                <w:rFonts w:hint="eastAsia" w:ascii="仿宋" w:hAnsi="仿宋" w:eastAsia="仿宋"/>
                <w:szCs w:val="21"/>
              </w:rPr>
              <w:t>0－</w:t>
            </w:r>
            <w:r>
              <w:rPr>
                <w:rFonts w:ascii="仿宋" w:hAnsi="仿宋" w:eastAsia="仿宋"/>
                <w:szCs w:val="21"/>
              </w:rPr>
              <w:t>16:30</w:t>
            </w:r>
          </w:p>
        </w:tc>
        <w:tc>
          <w:tcPr>
            <w:tcW w:w="2342" w:type="dxa"/>
            <w:tcBorders>
              <w:top w:val="single" w:color="auto" w:sz="4" w:space="0"/>
              <w:left w:val="single" w:color="auto" w:sz="4" w:space="0"/>
              <w:bottom w:val="single" w:color="auto" w:sz="4" w:space="0"/>
              <w:right w:val="single" w:color="auto" w:sz="4" w:space="0"/>
            </w:tcBorders>
            <w:vAlign w:val="center"/>
          </w:tcPr>
          <w:p>
            <w:pPr>
              <w:pStyle w:val="2"/>
              <w:tabs>
                <w:tab w:val="left" w:pos="1276"/>
              </w:tabs>
              <w:ind w:firstLine="420" w:firstLineChars="200"/>
              <w:rPr>
                <w:rFonts w:ascii="仿宋" w:hAnsi="仿宋" w:eastAsia="仿宋"/>
                <w:szCs w:val="21"/>
              </w:rPr>
            </w:pPr>
            <w:r>
              <w:rPr>
                <w:rFonts w:hint="eastAsia" w:ascii="仿宋" w:hAnsi="仿宋" w:eastAsia="仿宋"/>
                <w:szCs w:val="21"/>
              </w:rPr>
              <w:t>现代管理学</w:t>
            </w:r>
          </w:p>
        </w:tc>
        <w:tc>
          <w:tcPr>
            <w:tcW w:w="2549" w:type="dxa"/>
            <w:tcBorders>
              <w:top w:val="single" w:color="auto" w:sz="4" w:space="0"/>
              <w:left w:val="single" w:color="auto" w:sz="4" w:space="0"/>
              <w:bottom w:val="single" w:color="auto" w:sz="4" w:space="0"/>
              <w:right w:val="single" w:color="auto" w:sz="4" w:space="0"/>
            </w:tcBorders>
            <w:vAlign w:val="center"/>
          </w:tcPr>
          <w:p>
            <w:pPr>
              <w:pStyle w:val="2"/>
              <w:tabs>
                <w:tab w:val="left" w:pos="1276"/>
              </w:tabs>
              <w:ind w:firstLine="735" w:firstLineChars="350"/>
              <w:rPr>
                <w:rFonts w:ascii="仿宋" w:hAnsi="仿宋" w:eastAsia="仿宋"/>
                <w:szCs w:val="21"/>
              </w:rPr>
            </w:pPr>
            <w:r>
              <w:rPr>
                <w:rFonts w:hint="eastAsia" w:ascii="仿宋" w:hAnsi="仿宋" w:eastAsia="仿宋"/>
                <w:szCs w:val="21"/>
              </w:rPr>
              <w:t>法理学</w:t>
            </w:r>
          </w:p>
        </w:tc>
      </w:tr>
    </w:tbl>
    <w:p>
      <w:pPr>
        <w:tabs>
          <w:tab w:val="left" w:pos="1276"/>
        </w:tabs>
        <w:ind w:firstLine="640" w:firstLineChars="200"/>
        <w:rPr>
          <w:rFonts w:ascii="黑体" w:hAnsi="黑体" w:eastAsia="黑体" w:cs="Times New Roman"/>
          <w:sz w:val="32"/>
          <w:szCs w:val="32"/>
        </w:rPr>
      </w:pPr>
      <w:r>
        <w:rPr>
          <w:rFonts w:hint="eastAsia" w:ascii="黑体" w:hAnsi="黑体" w:eastAsia="黑体" w:cs="Times New Roman"/>
          <w:sz w:val="32"/>
          <w:szCs w:val="32"/>
        </w:rPr>
        <w:t>六、教学组织与管理</w:t>
      </w:r>
    </w:p>
    <w:p>
      <w:pPr>
        <w:ind w:firstLine="640" w:firstLineChars="200"/>
        <w:rPr>
          <w:rFonts w:ascii="仿宋" w:hAnsi="仿宋" w:eastAsia="仿宋" w:cs="Times New Roman"/>
          <w:sz w:val="32"/>
          <w:szCs w:val="32"/>
        </w:rPr>
      </w:pPr>
      <w:bookmarkStart w:id="0" w:name="_Hlk533669039"/>
      <w:r>
        <w:rPr>
          <w:rFonts w:hint="eastAsia" w:ascii="仿宋" w:hAnsi="仿宋" w:eastAsia="仿宋" w:cs="Times New Roman"/>
          <w:sz w:val="32"/>
          <w:szCs w:val="32"/>
        </w:rPr>
        <w:t>采取集中面授和在职自学相结合的方式。</w:t>
      </w:r>
      <w:r>
        <w:rPr>
          <w:rFonts w:ascii="仿宋" w:hAnsi="仿宋" w:eastAsia="仿宋" w:cs="Times New Roman"/>
          <w:sz w:val="32"/>
          <w:szCs w:val="32"/>
        </w:rPr>
        <w:t>实行统一管理，</w:t>
      </w:r>
      <w:r>
        <w:rPr>
          <w:rFonts w:hint="eastAsia" w:ascii="仿宋" w:hAnsi="仿宋" w:eastAsia="仿宋" w:cs="Times New Roman"/>
          <w:sz w:val="32"/>
          <w:szCs w:val="32"/>
        </w:rPr>
        <w:t>统一</w:t>
      </w:r>
      <w:r>
        <w:rPr>
          <w:rFonts w:ascii="仿宋" w:hAnsi="仿宋" w:eastAsia="仿宋" w:cs="Times New Roman"/>
          <w:sz w:val="32"/>
          <w:szCs w:val="32"/>
        </w:rPr>
        <w:t>教学计划、教学大纲，确定研读书目，编写辅导材料，录制教学视频</w:t>
      </w:r>
      <w:r>
        <w:rPr>
          <w:rFonts w:hint="eastAsia" w:ascii="仿宋" w:hAnsi="仿宋" w:eastAsia="仿宋" w:cs="Times New Roman"/>
          <w:sz w:val="32"/>
          <w:szCs w:val="32"/>
        </w:rPr>
        <w:t>；</w:t>
      </w:r>
      <w:r>
        <w:rPr>
          <w:rFonts w:ascii="仿宋" w:hAnsi="仿宋" w:eastAsia="仿宋" w:cs="Times New Roman"/>
          <w:sz w:val="32"/>
          <w:szCs w:val="32"/>
        </w:rPr>
        <w:t>统一组织教学、面授辅导、考试和论文答辩等工作。分院负责教学组织与日常管理等工作。</w:t>
      </w:r>
    </w:p>
    <w:bookmarkEnd w:id="0"/>
    <w:p>
      <w:pPr>
        <w:tabs>
          <w:tab w:val="left" w:pos="1276"/>
        </w:tabs>
        <w:ind w:firstLine="640" w:firstLineChars="200"/>
        <w:rPr>
          <w:rFonts w:ascii="黑体" w:hAnsi="黑体" w:eastAsia="黑体" w:cs="Times New Roman"/>
          <w:sz w:val="32"/>
          <w:szCs w:val="32"/>
        </w:rPr>
      </w:pPr>
      <w:r>
        <w:rPr>
          <w:rFonts w:ascii="黑体" w:hAnsi="黑体" w:eastAsia="黑体" w:cs="Times New Roman"/>
          <w:sz w:val="32"/>
          <w:szCs w:val="32"/>
        </w:rPr>
        <w:t>七、学费</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每人</w:t>
      </w:r>
      <w:r>
        <w:rPr>
          <w:rFonts w:ascii="仿宋" w:hAnsi="仿宋" w:eastAsia="仿宋" w:cs="Times New Roman"/>
          <w:sz w:val="32"/>
          <w:szCs w:val="32"/>
        </w:rPr>
        <w:t>每学年学费8000元、教材费400元。</w:t>
      </w:r>
    </w:p>
    <w:p>
      <w:pPr>
        <w:tabs>
          <w:tab w:val="left" w:pos="1276"/>
        </w:tabs>
        <w:ind w:firstLine="640" w:firstLineChars="200"/>
        <w:rPr>
          <w:rFonts w:ascii="黑体" w:hAnsi="黑体" w:eastAsia="黑体" w:cs="Times New Roman"/>
          <w:sz w:val="32"/>
          <w:szCs w:val="32"/>
        </w:rPr>
      </w:pPr>
      <w:r>
        <w:rPr>
          <w:rFonts w:hint="eastAsia" w:ascii="黑体" w:hAnsi="黑体" w:eastAsia="黑体" w:cs="Times New Roman"/>
          <w:sz w:val="32"/>
          <w:szCs w:val="32"/>
        </w:rPr>
        <w:t>八、</w:t>
      </w:r>
      <w:r>
        <w:rPr>
          <w:rFonts w:ascii="黑体" w:hAnsi="黑体" w:eastAsia="黑体" w:cs="Times New Roman"/>
          <w:sz w:val="32"/>
          <w:szCs w:val="32"/>
        </w:rPr>
        <w:t>毕业</w:t>
      </w:r>
      <w:bookmarkStart w:id="1" w:name="_Hlk533669100"/>
    </w:p>
    <w:p>
      <w:pPr>
        <w:ind w:firstLine="640" w:firstLineChars="200"/>
        <w:rPr>
          <w:rFonts w:ascii="仿宋" w:hAnsi="仿宋" w:eastAsia="仿宋" w:cs="Times New Roman"/>
          <w:sz w:val="32"/>
          <w:szCs w:val="32"/>
        </w:rPr>
      </w:pPr>
      <w:r>
        <w:rPr>
          <w:rFonts w:ascii="仿宋" w:hAnsi="仿宋" w:eastAsia="仿宋" w:cs="Times New Roman"/>
          <w:sz w:val="32"/>
          <w:szCs w:val="32"/>
        </w:rPr>
        <w:t>按教学计划学完规定课程，经考试、考核成绩合格，论文答辩通过后，颁发省委党校（山东行政学院）在职干部研究生毕业证书。</w:t>
      </w:r>
      <w:bookmarkEnd w:id="1"/>
    </w:p>
    <w:p>
      <w:pPr>
        <w:tabs>
          <w:tab w:val="left" w:pos="1276"/>
        </w:tabs>
        <w:ind w:firstLine="707" w:firstLineChars="221"/>
        <w:rPr>
          <w:rFonts w:ascii="仿宋" w:hAnsi="仿宋" w:eastAsia="仿宋" w:cs="Times New Roman"/>
          <w:sz w:val="32"/>
          <w:szCs w:val="32"/>
        </w:rPr>
      </w:pPr>
      <w:r>
        <w:rPr>
          <w:rFonts w:hint="eastAsia" w:ascii="仿宋" w:hAnsi="仿宋" w:eastAsia="仿宋" w:cs="Times New Roman"/>
          <w:sz w:val="32"/>
          <w:szCs w:val="32"/>
        </w:rPr>
        <w:t>报名地点：兖矿能源员工教育培训中心党校工作部（邹城市崇义路</w:t>
      </w:r>
      <w:r>
        <w:rPr>
          <w:rFonts w:ascii="仿宋" w:hAnsi="仿宋" w:eastAsia="仿宋" w:cs="Times New Roman"/>
          <w:sz w:val="32"/>
          <w:szCs w:val="32"/>
        </w:rPr>
        <w:t>1369</w:t>
      </w:r>
      <w:r>
        <w:rPr>
          <w:rFonts w:hint="eastAsia" w:ascii="仿宋" w:hAnsi="仿宋" w:eastAsia="仿宋" w:cs="Times New Roman"/>
          <w:sz w:val="32"/>
          <w:szCs w:val="32"/>
        </w:rPr>
        <w:t>号员工教育培训中心综合西楼二楼党校工作部227室）</w:t>
      </w:r>
    </w:p>
    <w:p>
      <w:pPr>
        <w:tabs>
          <w:tab w:val="left" w:pos="1276"/>
        </w:tabs>
        <w:ind w:firstLine="640" w:firstLineChars="200"/>
        <w:rPr>
          <w:rFonts w:ascii="仿宋" w:hAnsi="仿宋" w:eastAsia="仿宋" w:cs="Times New Roman"/>
          <w:sz w:val="32"/>
          <w:szCs w:val="32"/>
        </w:rPr>
      </w:pPr>
      <w:r>
        <w:rPr>
          <w:rFonts w:hint="eastAsia" w:ascii="仿宋" w:hAnsi="仿宋" w:eastAsia="仿宋" w:cs="Times New Roman"/>
          <w:sz w:val="32"/>
          <w:szCs w:val="32"/>
        </w:rPr>
        <w:t>报名咨询电话：</w:t>
      </w:r>
      <w:r>
        <w:rPr>
          <w:rFonts w:ascii="仿宋" w:hAnsi="仿宋" w:eastAsia="仿宋" w:cs="Times New Roman"/>
          <w:sz w:val="32"/>
          <w:szCs w:val="32"/>
        </w:rPr>
        <w:t xml:space="preserve"> 5369022  (</w:t>
      </w:r>
      <w:r>
        <w:rPr>
          <w:rFonts w:hint="eastAsia" w:ascii="仿宋" w:hAnsi="仿宋" w:eastAsia="仿宋" w:cs="Times New Roman"/>
          <w:sz w:val="32"/>
          <w:szCs w:val="32"/>
        </w:rPr>
        <w:t>张老师</w:t>
      </w:r>
      <w:r>
        <w:rPr>
          <w:rFonts w:ascii="仿宋" w:hAnsi="仿宋" w:eastAsia="仿宋" w:cs="Times New Roman"/>
          <w:sz w:val="32"/>
          <w:szCs w:val="32"/>
        </w:rPr>
        <w:t>)</w:t>
      </w:r>
    </w:p>
    <w:p>
      <w:pPr>
        <w:spacing w:line="500" w:lineRule="exact"/>
        <w:rPr>
          <w:rFonts w:ascii="仿宋" w:hAnsi="仿宋" w:eastAsia="仿宋"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36D51"/>
    <w:rsid w:val="000012B0"/>
    <w:rsid w:val="000364D2"/>
    <w:rsid w:val="00056830"/>
    <w:rsid w:val="00071E5D"/>
    <w:rsid w:val="000B555F"/>
    <w:rsid w:val="000B6A01"/>
    <w:rsid w:val="000B6A92"/>
    <w:rsid w:val="000E2B57"/>
    <w:rsid w:val="00135BBC"/>
    <w:rsid w:val="00162D02"/>
    <w:rsid w:val="001E206A"/>
    <w:rsid w:val="001F07D6"/>
    <w:rsid w:val="00261788"/>
    <w:rsid w:val="00291C53"/>
    <w:rsid w:val="00295A94"/>
    <w:rsid w:val="00295DC8"/>
    <w:rsid w:val="002A048D"/>
    <w:rsid w:val="002B1BD1"/>
    <w:rsid w:val="002C3CBE"/>
    <w:rsid w:val="002D1F7A"/>
    <w:rsid w:val="002E4A79"/>
    <w:rsid w:val="00311A11"/>
    <w:rsid w:val="003122E1"/>
    <w:rsid w:val="00312F29"/>
    <w:rsid w:val="003835D3"/>
    <w:rsid w:val="00393087"/>
    <w:rsid w:val="003D57CE"/>
    <w:rsid w:val="003F5974"/>
    <w:rsid w:val="00440BE2"/>
    <w:rsid w:val="004954C4"/>
    <w:rsid w:val="004B7AA8"/>
    <w:rsid w:val="005041BA"/>
    <w:rsid w:val="005474C6"/>
    <w:rsid w:val="005A13FA"/>
    <w:rsid w:val="005D08FE"/>
    <w:rsid w:val="005E0A92"/>
    <w:rsid w:val="005F66B7"/>
    <w:rsid w:val="0061139D"/>
    <w:rsid w:val="0067266C"/>
    <w:rsid w:val="00675F62"/>
    <w:rsid w:val="006A4B78"/>
    <w:rsid w:val="006B35E9"/>
    <w:rsid w:val="0070589A"/>
    <w:rsid w:val="00724994"/>
    <w:rsid w:val="0079345B"/>
    <w:rsid w:val="007C18CC"/>
    <w:rsid w:val="007D732E"/>
    <w:rsid w:val="00822EF2"/>
    <w:rsid w:val="0082308E"/>
    <w:rsid w:val="00842B4A"/>
    <w:rsid w:val="008928DD"/>
    <w:rsid w:val="008A3D5E"/>
    <w:rsid w:val="008B6E18"/>
    <w:rsid w:val="0092366F"/>
    <w:rsid w:val="0094622E"/>
    <w:rsid w:val="009B76B5"/>
    <w:rsid w:val="009E2441"/>
    <w:rsid w:val="009F0B30"/>
    <w:rsid w:val="00A360BD"/>
    <w:rsid w:val="00A53CD7"/>
    <w:rsid w:val="00A5799F"/>
    <w:rsid w:val="00A66192"/>
    <w:rsid w:val="00AF536D"/>
    <w:rsid w:val="00B36D51"/>
    <w:rsid w:val="00B37BFB"/>
    <w:rsid w:val="00B466D2"/>
    <w:rsid w:val="00B63E3F"/>
    <w:rsid w:val="00B81A6C"/>
    <w:rsid w:val="00C329C3"/>
    <w:rsid w:val="00C456BA"/>
    <w:rsid w:val="00C84E64"/>
    <w:rsid w:val="00C97218"/>
    <w:rsid w:val="00CB58AA"/>
    <w:rsid w:val="00D51A0A"/>
    <w:rsid w:val="00D57F97"/>
    <w:rsid w:val="00D62D93"/>
    <w:rsid w:val="00D95257"/>
    <w:rsid w:val="00DF3904"/>
    <w:rsid w:val="00DF4D56"/>
    <w:rsid w:val="00E21BE0"/>
    <w:rsid w:val="00E31579"/>
    <w:rsid w:val="00E4509F"/>
    <w:rsid w:val="00E83685"/>
    <w:rsid w:val="00F12D2B"/>
    <w:rsid w:val="00F33250"/>
    <w:rsid w:val="00F3437D"/>
    <w:rsid w:val="00FB0F57"/>
    <w:rsid w:val="00FC2257"/>
    <w:rsid w:val="00FD487F"/>
    <w:rsid w:val="00FD7ACA"/>
    <w:rsid w:val="00FE0F26"/>
    <w:rsid w:val="00FF6814"/>
    <w:rsid w:val="58C41639"/>
    <w:rsid w:val="70EE42C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uiPriority w:val="99"/>
    <w:rPr>
      <w:rFonts w:ascii="宋体" w:hAnsi="Courier New" w:cs="Times New Roman"/>
      <w:szCs w:val="24"/>
    </w:rPr>
  </w:style>
  <w:style w:type="paragraph" w:styleId="3">
    <w:name w:val="Date"/>
    <w:basedOn w:val="1"/>
    <w:next w:val="1"/>
    <w:link w:val="9"/>
    <w:qFormat/>
    <w:uiPriority w:val="99"/>
    <w:pPr>
      <w:ind w:left="100" w:leftChars="2500"/>
    </w:p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99"/>
    <w:rPr>
      <w:rFonts w:ascii="Times New Roman" w:hAnsi="Times New Roman" w:eastAsia="宋体" w:cs="Times New Roman"/>
    </w:rPr>
  </w:style>
  <w:style w:type="character" w:customStyle="1" w:styleId="9">
    <w:name w:val="日期 Char"/>
    <w:basedOn w:val="7"/>
    <w:link w:val="3"/>
    <w:qFormat/>
    <w:locked/>
    <w:uiPriority w:val="99"/>
    <w:rPr>
      <w:rFonts w:cs="Times New Roman"/>
    </w:rPr>
  </w:style>
  <w:style w:type="character" w:customStyle="1" w:styleId="10">
    <w:name w:val="页眉 Char"/>
    <w:basedOn w:val="7"/>
    <w:link w:val="5"/>
    <w:qFormat/>
    <w:locked/>
    <w:uiPriority w:val="99"/>
    <w:rPr>
      <w:rFonts w:cs="Times New Roman"/>
      <w:sz w:val="18"/>
      <w:szCs w:val="18"/>
    </w:rPr>
  </w:style>
  <w:style w:type="character" w:customStyle="1" w:styleId="11">
    <w:name w:val="页脚 Char"/>
    <w:basedOn w:val="7"/>
    <w:link w:val="4"/>
    <w:qFormat/>
    <w:locked/>
    <w:uiPriority w:val="99"/>
    <w:rPr>
      <w:rFonts w:cs="Times New Roman"/>
      <w:sz w:val="18"/>
      <w:szCs w:val="18"/>
    </w:rPr>
  </w:style>
  <w:style w:type="character" w:customStyle="1" w:styleId="12">
    <w:name w:val="纯文本 Char"/>
    <w:basedOn w:val="7"/>
    <w:link w:val="2"/>
    <w:qFormat/>
    <w:locked/>
    <w:uiPriority w:val="99"/>
    <w:rPr>
      <w:rFonts w:ascii="宋体" w:hAnsi="Courier New"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256</Words>
  <Characters>1465</Characters>
  <Lines>12</Lines>
  <Paragraphs>3</Paragraphs>
  <TotalTime>23</TotalTime>
  <ScaleCrop>false</ScaleCrop>
  <LinksUpToDate>false</LinksUpToDate>
  <CharactersWithSpaces>1718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2021-01-25T07:31:00Z</dcterms:created>
  <dc:creator>微软用户</dc:creator>
  <cp:lastModifiedBy>彭艳忠</cp:lastModifiedBy>
  <cp:lastPrinted>2021-01-25T08:13:00Z</cp:lastPrinted>
  <dcterms:modified xsi:type="dcterms:W3CDTF">2022-02-15T08:12:06Z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05C13B766DBA48CCB8C8CF4CEFECF070</vt:lpwstr>
  </property>
</Properties>
</file>