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聊</w:t>
      </w:r>
      <w:bookmarkStart w:id="0" w:name="_GoBack"/>
      <w:bookmarkEnd w:id="0"/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城市茌平区情况简介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茌平，地处鲁西平原，聊（城）德（州）交界处。于2019年9月撤县设区，现为聊城两个市辖区之一。辖14个乡镇（街道）、1个省级经济开发区、1个高端产业聚集区，88个社区（新村），面积1003.4平方公里，人口5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eastAsia="zh-CN" w:bidi="ar-SA"/>
        </w:rPr>
        <w:t>7.4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万。</w:t>
      </w:r>
    </w:p>
    <w:p>
      <w:pPr>
        <w:pStyle w:val="7"/>
        <w:snapToGrid w:val="0"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，全区实现生产总值345.8亿元、同比增长7.8%；完成一般公共预算收入32.6亿元，其中税收收入27.6亿元、占比85%、创历史新高；全年规上工业企业工业总产值历史性突破1000亿元大关，高新技术产业产值占比达到55.6%；成功入选“全国地级市市辖区高质量发展百强”、列第91位。 今年</w:t>
      </w:r>
      <w:r>
        <w:rPr>
          <w:rStyle w:val="5"/>
          <w:rFonts w:ascii="仿宋_GB2312" w:hAnsi="仿宋_GB2312" w:eastAsia="仿宋_GB2312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上半年，全区</w:t>
      </w:r>
      <w:r>
        <w:rPr>
          <w:rStyle w:val="5"/>
          <w:rFonts w:ascii="仿宋_GB2312" w:hAnsi="仿宋_GB2312" w:eastAsia="仿宋_GB2312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实现生产总值176.9亿元，同比增长4.3%;</w:t>
      </w:r>
      <w:r>
        <w:rPr>
          <w:rStyle w:val="8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完成一般公共预算收入</w:t>
      </w:r>
      <w:r>
        <w:rPr>
          <w:rStyle w:val="8"/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-SA"/>
        </w:rPr>
        <w:t>18.4</w:t>
      </w:r>
      <w:r>
        <w:rPr>
          <w:rStyle w:val="8"/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亿元，同比增长</w:t>
      </w:r>
      <w:r>
        <w:rPr>
          <w:rStyle w:val="8"/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 w:bidi="ar-SA"/>
        </w:rPr>
        <w:t>9.8</w:t>
      </w:r>
      <w:r>
        <w:rPr>
          <w:rStyle w:val="8"/>
          <w:rFonts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%；实现工业总产值609亿元，同比增长23.7%，工业增加值增幅超过9%，工业总量、增幅及增加值对全市的贡献率均排名全市首位；取得全市高质量发展重点项目现场观摩第一、全市政府系统评议第一、全市公共服务满意度调查第一等三个第一好成绩；</w:t>
      </w: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根据新华网最新公布的《2022中国市辖区高质量发展报告》，茌平再次榜上有名，列第90位，是鲁西地区唯一上榜的市辖区。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茌平历史悠久、人杰地灵，是一座文化之城。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因在“茌山之平陆”而得名，秦时置县，历史源远流长，文化底蕴深厚。境内大汶口文化、龙山文化等遗址星罗棋布、交相辉映，诞生了战国高士鲁仲连、唐初名相马周、宋代名医成无己、康熙帝师王曰高等古圣先贤，存有孔子回辕处、孟尝君练兵场、鲁仲连祠、鲁义姑祠等名胜古迹，拥有剪纸、秧歌、花鼓荡戏等非遗项目，是社科院“中华五千年文明起源”重大课题黄河下游起源的重点和“中国民间剪纸艺术之乡”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茌平工业强劲、实力雄厚，是一座产业之城。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区现有规模以上工业企业200家；电解铝产能158万吨，氧化铝产能360万吨，聚氯乙烯产能70万吨；发电机容量680万千瓦，电汽要素保障能力极强。拥有信发集团、金号织业、华鲁制药等知名企业和铝及铝深加工、纺织、生物制药、人造板加工及建材、汽车零部件等八大主导产业集群，是全国大型铝电生产基地和江北最大木地板生产基地，汽车散热器产量占全国近三成。拥有中国地级市市辖区高质量发展百强、全国县域经济基本竞争力百强、中国产业发展能力百强、中国最具投资潜力百强等40余项国家、省级荣誉称号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茌平山青水绿、秀美宜居，是一座生态之城。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境内金牛湖、东邢水库、环城河、徒骇河等水系纵横交错，国家级森林公园、国家级湿地公园坐落西东，圆铃大枣生态园、佳乡田苑、普济沟慢生活体验区等合理布局，是全国卫生城市、全国文明城市提名城市、全国绿化模范县。近年来，茌平以撤县设区为契机，加快“东接、西拓、南展、北优”步伐，编制《茌平高铁新城概念规划与核心区城市建设》规划，深入开展“双城同创”，进一步全面提升了城市内涵和品位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茌平区位优越、兼收并蓄，是一座开放之城。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东临省会济南，西接聊城市区，北承京津冀，南展长三角，境内309国道、105国道、济聊高速、高东高速、济邯铁路、郑济高铁纵横交错，立体化交通四通八达，是济聊一体化发展的“桥头堡”。营商环境优越，亩均效益评价和重点项目帮包机制健全完善，“放管服”、“一次办好”改革持续深化，项目土地、审批、服务等领域创新协同推进，项目建设周期短、“不见面”审批常态化，在2021年全省营商环境专项评价中获评全市唯一优异等次县区，政商环境企业省心、放心、顺心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茌平资源充裕、物产丰饶，是一座富产之城。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气候适宜、光照充足、沃野平畴，淡水资源充足，水利条件便利。全区有价值的生物资源多达700多种，是国家重要的商品粮、优质棉、蔬菜、林果、畜禽生产基地和农副产品深加工出口基地，圆铃大枣、鲁西黄牛、南莲池十孔藕、香椿菜，以及草编、条编等工艺品久负盛名。近年来，茌平乡村特色产业蓬勃发展，耿店村获总书记“点赞”，信发现代农业产业园成为乡村产业新亮点，涌现出小刘村、常海子村、南海子村等新一批产业强村，耿店棚菜、肖庄大枣、冯屯西葫、菜屯松茸等一系列特色名品远销海内外。</w:t>
      </w:r>
    </w:p>
    <w:p>
      <w:pPr>
        <w:snapToGrid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茌平生机盎然、活力迸发，是一座奋进之城。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改革开放40多年来，茌平GDP从1.58亿元倍增至345.8亿元，人均可支配收入从49元攀升至</w:t>
      </w:r>
      <w:r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2.5万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余元，经济社会各项事业取得翻天覆地的变化。近年来，茌平不断加大“双招双引”和项目建设力度，引进北控水务、水发集团、南京云海、上海友升等一批名企强企，落地现代物流、医养健康、铝中间合金、高端精细化工等一批产业项目，一大批新技术、新产业、新业态、新模式破土而出，一个动能澎湃的新茌平正迎面走来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12AC0"/>
    <w:rsid w:val="45432B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8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spacing w:line="660" w:lineRule="exact"/>
      <w:ind w:firstLine="705"/>
      <w:jc w:val="both"/>
      <w:textAlignment w:val="baseline"/>
    </w:pPr>
    <w:rPr>
      <w:rFonts w:ascii="仿宋_GB2312" w:hAnsi="Calibri" w:eastAsia="仿宋_GB2312"/>
      <w:color w:val="000000"/>
      <w:kern w:val="2"/>
      <w:sz w:val="36"/>
      <w:szCs w:val="36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paragraph" w:customStyle="1" w:styleId="7">
    <w:name w:val="UserStyle_0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customStyle="1" w:styleId="8">
    <w:name w:val="UserStyle_1"/>
    <w:link w:val="1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1774</Words>
  <Characters>1870</Characters>
  <TotalTime>0</TotalTime>
  <ScaleCrop>false</ScaleCrop>
  <LinksUpToDate>false</LinksUpToDate>
  <CharactersWithSpaces>1871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2022-08-13T12:11:28Z</dcterms:created>
  <dc:creator>Admin</dc:creator>
  <cp:lastModifiedBy>高高</cp:lastModifiedBy>
  <dcterms:modified xsi:type="dcterms:W3CDTF">2022-08-13T12:11:47Z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4176491D55724ADF8DA29ECA01EAD97D</vt:lpwstr>
  </property>
</Properties>
</file>