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34" w:rsidRDefault="00494134">
      <w:pPr>
        <w:spacing w:line="560" w:lineRule="exact"/>
        <w:jc w:val="center"/>
        <w:rPr>
          <w:rFonts w:ascii="方正小标宋简体" w:eastAsia="方正小标宋简体" w:hAnsi="方正小标宋简体" w:cs="方正小标宋简体"/>
          <w:sz w:val="44"/>
          <w:szCs w:val="44"/>
        </w:rPr>
      </w:pPr>
    </w:p>
    <w:p w:rsidR="00494134" w:rsidRDefault="0049413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盛隆化工有限公司</w:t>
      </w:r>
    </w:p>
    <w:p w:rsidR="00494134" w:rsidRDefault="0049413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2020</w:t>
      </w:r>
      <w:r>
        <w:rPr>
          <w:rFonts w:ascii="方正小标宋简体" w:eastAsia="方正小标宋简体" w:hAnsi="方正小标宋简体" w:cs="方正小标宋简体" w:hint="eastAsia"/>
          <w:sz w:val="44"/>
          <w:szCs w:val="44"/>
        </w:rPr>
        <w:t>年度财务等重大信息公告</w:t>
      </w:r>
    </w:p>
    <w:p w:rsidR="00494134" w:rsidRDefault="00494134" w:rsidP="001A2B68">
      <w:pPr>
        <w:spacing w:line="640" w:lineRule="exact"/>
        <w:ind w:firstLineChars="200" w:firstLine="31680"/>
      </w:pPr>
    </w:p>
    <w:p w:rsidR="00494134" w:rsidRDefault="00494134">
      <w:pPr>
        <w:spacing w:line="640" w:lineRule="exact"/>
        <w:jc w:val="center"/>
        <w:rPr>
          <w:rFonts w:ascii="黑体" w:eastAsia="黑体" w:hAnsi="黑体" w:cs="黑体"/>
          <w:sz w:val="36"/>
          <w:szCs w:val="36"/>
        </w:rPr>
      </w:pPr>
      <w:r>
        <w:rPr>
          <w:rFonts w:ascii="黑体" w:eastAsia="黑体" w:hAnsi="黑体" w:cs="黑体" w:hint="eastAsia"/>
          <w:sz w:val="36"/>
          <w:szCs w:val="36"/>
        </w:rPr>
        <w:t>重要提示</w:t>
      </w:r>
    </w:p>
    <w:p w:rsidR="00494134" w:rsidRDefault="00494134" w:rsidP="001A2B68">
      <w:pPr>
        <w:spacing w:line="640" w:lineRule="exact"/>
        <w:ind w:firstLineChars="200" w:firstLine="31680"/>
        <w:rPr>
          <w:rFonts w:ascii="黑体" w:eastAsia="黑体" w:hAnsi="黑体" w:cs="黑体"/>
          <w:sz w:val="36"/>
          <w:szCs w:val="36"/>
        </w:rPr>
      </w:pPr>
    </w:p>
    <w:p w:rsidR="00494134" w:rsidRDefault="00494134" w:rsidP="001A2B68">
      <w:pPr>
        <w:spacing w:line="640" w:lineRule="exact"/>
        <w:ind w:firstLineChars="200" w:firstLine="31680"/>
        <w:rPr>
          <w:rFonts w:ascii="黑体" w:eastAsia="黑体" w:hAnsi="黑体" w:cs="黑体"/>
          <w:sz w:val="36"/>
          <w:szCs w:val="36"/>
        </w:rPr>
      </w:pPr>
      <w:r>
        <w:rPr>
          <w:rFonts w:ascii="黑体" w:eastAsia="黑体" w:hAnsi="黑体" w:cs="黑体" w:hint="eastAsia"/>
          <w:sz w:val="36"/>
          <w:szCs w:val="36"/>
        </w:rPr>
        <w:t>本公司董事会及全体董事保证本公告内容不存在任何虚假记载、误导性陈述或者重大遗漏，并对其内容的真实性、准确性和完整性承担个别及连带责任。</w:t>
      </w:r>
    </w:p>
    <w:p w:rsidR="00494134" w:rsidRDefault="00494134">
      <w:pPr>
        <w:spacing w:line="640" w:lineRule="exact"/>
        <w:rPr>
          <w:rFonts w:ascii="黑体" w:eastAsia="黑体" w:hAnsi="黑体" w:cs="黑体"/>
          <w:sz w:val="36"/>
          <w:szCs w:val="36"/>
        </w:rPr>
      </w:pPr>
      <w:r>
        <w:rPr>
          <w:rFonts w:ascii="黑体" w:eastAsia="黑体" w:hAnsi="黑体" w:cs="黑体"/>
          <w:sz w:val="36"/>
          <w:szCs w:val="36"/>
        </w:rPr>
        <w:br w:type="page"/>
      </w:r>
    </w:p>
    <w:p w:rsidR="00494134" w:rsidRDefault="00494134" w:rsidP="001A2B68">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一、公司基本情况</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统一社会信用代码：</w:t>
      </w:r>
      <w:r>
        <w:rPr>
          <w:rFonts w:ascii="仿宋_GB2312" w:eastAsia="仿宋_GB2312" w:hAnsi="仿宋_GB2312" w:cs="仿宋_GB2312"/>
          <w:sz w:val="32"/>
          <w:szCs w:val="32"/>
        </w:rPr>
        <w:t>91370481751773434P</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企业名称：盛隆化工有限公司</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法定代表人：杨宝刚</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类型：有限责任公司</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成立日期：</w:t>
      </w:r>
      <w:r>
        <w:rPr>
          <w:rFonts w:ascii="仿宋_GB2312" w:eastAsia="仿宋_GB2312" w:hAnsi="仿宋_GB2312" w:cs="仿宋_GB2312"/>
          <w:sz w:val="32"/>
          <w:szCs w:val="32"/>
        </w:rPr>
        <w:t>2003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注册资本：</w:t>
      </w:r>
      <w:r>
        <w:rPr>
          <w:rFonts w:ascii="仿宋_GB2312" w:eastAsia="仿宋_GB2312" w:hAnsi="仿宋_GB2312" w:cs="仿宋_GB2312"/>
          <w:sz w:val="32"/>
          <w:szCs w:val="32"/>
        </w:rPr>
        <w:t>56880</w:t>
      </w:r>
      <w:r>
        <w:rPr>
          <w:rFonts w:ascii="仿宋_GB2312" w:eastAsia="仿宋_GB2312" w:hAnsi="仿宋_GB2312" w:cs="仿宋_GB2312" w:hint="eastAsia"/>
          <w:sz w:val="32"/>
          <w:szCs w:val="32"/>
        </w:rPr>
        <w:t>万人民币</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营业期限自：</w:t>
      </w:r>
      <w:r>
        <w:rPr>
          <w:rFonts w:ascii="仿宋_GB2312" w:eastAsia="仿宋_GB2312" w:hAnsi="仿宋_GB2312" w:cs="仿宋_GB2312"/>
          <w:sz w:val="32"/>
          <w:szCs w:val="32"/>
        </w:rPr>
        <w:t>2003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2053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06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登记机关：滕州市行政审批服务局</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登记状态：在营企业</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11.</w:t>
      </w:r>
      <w:r>
        <w:rPr>
          <w:rFonts w:ascii="仿宋_GB2312" w:eastAsia="仿宋_GB2312" w:hAnsi="仿宋_GB2312" w:cs="仿宋_GB2312" w:hint="eastAsia"/>
          <w:sz w:val="32"/>
          <w:szCs w:val="32"/>
        </w:rPr>
        <w:t>住所：滕州市西岗镇</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12.</w:t>
      </w:r>
      <w:r>
        <w:rPr>
          <w:rFonts w:ascii="仿宋_GB2312" w:eastAsia="仿宋_GB2312" w:hAnsi="仿宋_GB2312" w:cs="仿宋_GB2312" w:hint="eastAsia"/>
          <w:sz w:val="32"/>
          <w:szCs w:val="32"/>
        </w:rPr>
        <w:t>邮政编码：</w:t>
      </w:r>
      <w:r>
        <w:rPr>
          <w:rFonts w:ascii="仿宋_GB2312" w:eastAsia="仿宋_GB2312" w:hAnsi="仿宋_GB2312" w:cs="仿宋_GB2312"/>
          <w:sz w:val="32"/>
          <w:szCs w:val="32"/>
        </w:rPr>
        <w:t>277500</w:t>
      </w:r>
    </w:p>
    <w:p w:rsidR="00494134" w:rsidRDefault="00494134" w:rsidP="001A2B68">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13.</w:t>
      </w:r>
      <w:r>
        <w:rPr>
          <w:rFonts w:ascii="仿宋_GB2312" w:eastAsia="仿宋_GB2312" w:hAnsi="仿宋_GB2312" w:cs="仿宋_GB2312" w:hint="eastAsia"/>
          <w:sz w:val="32"/>
          <w:szCs w:val="32"/>
        </w:rPr>
        <w:t>电子信箱</w:t>
      </w:r>
      <w:r>
        <w:rPr>
          <w:rFonts w:ascii="仿宋_GB2312" w:eastAsia="仿宋_GB2312" w:hAnsi="仿宋_GB2312" w:cs="仿宋_GB2312"/>
          <w:sz w:val="32"/>
          <w:szCs w:val="32"/>
        </w:rPr>
        <w:t>:slgs9016@163.com</w:t>
      </w:r>
    </w:p>
    <w:p w:rsidR="00494134" w:rsidRDefault="00494134" w:rsidP="001A2B68">
      <w:pPr>
        <w:pStyle w:val="NormalWeb"/>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14.</w:t>
      </w:r>
      <w:r>
        <w:rPr>
          <w:rFonts w:ascii="仿宋_GB2312" w:eastAsia="仿宋_GB2312" w:hAnsi="仿宋_GB2312" w:cs="仿宋_GB2312" w:hint="eastAsia"/>
          <w:sz w:val="32"/>
          <w:szCs w:val="32"/>
        </w:rPr>
        <w:t>经营范围：一般项目：化工产品生产（不含许可类化工产品）；化工产品销售（不含许可类化工产品）；炼焦；煤炭及制品销售；煤炭洗选；通用设备修理；电气设备修理；专用设备修理。（除依法须经批准的项目外，凭营业执照依法自主开展经营活动）许可项目：危险化学品生产；危险废物经营；热力生产和供应。（依法须经批准的项目，经相关部门批准后方可开展经营活动，具体经营项目以相关部门批准文件或许可证件为准）</w:t>
      </w:r>
    </w:p>
    <w:p w:rsidR="00494134" w:rsidRDefault="00494134" w:rsidP="001A2B68">
      <w:pPr>
        <w:spacing w:line="540" w:lineRule="exact"/>
        <w:ind w:firstLineChars="200" w:firstLine="31680"/>
        <w:rPr>
          <w:rFonts w:ascii="仿宋_GB2312" w:eastAsia="仿宋_GB2312" w:hAnsi="??_GB2312" w:cs="??_GB2312"/>
          <w:sz w:val="32"/>
          <w:szCs w:val="32"/>
        </w:rPr>
      </w:pPr>
      <w:r>
        <w:rPr>
          <w:rFonts w:ascii="仿宋_GB2312" w:eastAsia="仿宋_GB2312" w:hAnsi="仿宋_GB2312" w:cs="仿宋_GB2312"/>
          <w:sz w:val="32"/>
          <w:szCs w:val="32"/>
        </w:rPr>
        <w:t>15.</w:t>
      </w:r>
      <w:r>
        <w:rPr>
          <w:rFonts w:ascii="仿宋_GB2312" w:eastAsia="仿宋_GB2312" w:hAnsi="仿宋_GB2312" w:cs="仿宋_GB2312" w:hint="eastAsia"/>
          <w:sz w:val="32"/>
          <w:szCs w:val="32"/>
        </w:rPr>
        <w:t>公司简介</w:t>
      </w:r>
      <w:r>
        <w:rPr>
          <w:rFonts w:ascii="仿宋_GB2312" w:eastAsia="仿宋_GB2312" w:hAnsi="仿宋_GB2312" w:cs="仿宋_GB2312"/>
          <w:sz w:val="32"/>
          <w:szCs w:val="32"/>
        </w:rPr>
        <w:t>:</w:t>
      </w:r>
      <w:r>
        <w:rPr>
          <w:rFonts w:ascii="仿宋_GB2312" w:eastAsia="仿宋_GB2312" w:hAnsi="宋体" w:cs="宋体" w:hint="eastAsia"/>
          <w:sz w:val="32"/>
          <w:szCs w:val="32"/>
        </w:rPr>
        <w:t>盛隆公司是由均位居世界</w:t>
      </w:r>
      <w:r>
        <w:rPr>
          <w:rFonts w:ascii="仿宋_GB2312" w:eastAsia="仿宋_GB2312" w:hAnsi="宋体" w:cs="宋体"/>
          <w:sz w:val="32"/>
          <w:szCs w:val="32"/>
        </w:rPr>
        <w:t>500</w:t>
      </w:r>
      <w:r>
        <w:rPr>
          <w:rFonts w:ascii="仿宋_GB2312" w:eastAsia="仿宋_GB2312" w:hAnsi="宋体" w:cs="宋体" w:hint="eastAsia"/>
          <w:sz w:val="32"/>
          <w:szCs w:val="32"/>
        </w:rPr>
        <w:t>强的山东能源枣矿集团、宝武钢铁马钢股份、江苏沙钢集团合资兴建的煤化工企业，也是最早起步打造的混合所有制企业。公司成立于</w:t>
      </w:r>
      <w:r>
        <w:rPr>
          <w:rFonts w:ascii="仿宋_GB2312" w:eastAsia="仿宋_GB2312" w:hAnsi="??_GB2312" w:cs="??_GB2312"/>
          <w:sz w:val="32"/>
          <w:szCs w:val="32"/>
        </w:rPr>
        <w:t xml:space="preserve"> 2003</w:t>
      </w:r>
      <w:r>
        <w:rPr>
          <w:rFonts w:ascii="仿宋_GB2312" w:eastAsia="仿宋_GB2312" w:hAnsi="宋体" w:cs="宋体" w:hint="eastAsia"/>
          <w:sz w:val="32"/>
          <w:szCs w:val="32"/>
        </w:rPr>
        <w:t>年</w:t>
      </w:r>
      <w:r>
        <w:rPr>
          <w:rFonts w:ascii="仿宋_GB2312" w:eastAsia="仿宋_GB2312" w:hAnsi="??_GB2312" w:cs="??_GB2312"/>
          <w:sz w:val="32"/>
          <w:szCs w:val="32"/>
        </w:rPr>
        <w:t>6</w:t>
      </w:r>
      <w:r>
        <w:rPr>
          <w:rFonts w:ascii="仿宋_GB2312" w:eastAsia="仿宋_GB2312" w:hAnsi="宋体" w:cs="宋体" w:hint="eastAsia"/>
          <w:sz w:val="32"/>
          <w:szCs w:val="32"/>
        </w:rPr>
        <w:t>月，股权比例结构分别为：枣矿</w:t>
      </w:r>
      <w:r>
        <w:rPr>
          <w:rFonts w:ascii="仿宋_GB2312" w:eastAsia="仿宋_GB2312" w:hAnsi="??_GB2312" w:cs="??_GB2312"/>
          <w:sz w:val="32"/>
          <w:szCs w:val="32"/>
        </w:rPr>
        <w:t>36%</w:t>
      </w:r>
      <w:r>
        <w:rPr>
          <w:rFonts w:ascii="仿宋_GB2312" w:eastAsia="仿宋_GB2312" w:hAnsi="宋体" w:cs="宋体" w:hint="eastAsia"/>
          <w:sz w:val="32"/>
          <w:szCs w:val="32"/>
        </w:rPr>
        <w:t>、马钢和沙钢各占</w:t>
      </w:r>
      <w:r>
        <w:rPr>
          <w:rFonts w:ascii="仿宋_GB2312" w:eastAsia="仿宋_GB2312" w:hAnsi="??_GB2312" w:cs="??_GB2312"/>
          <w:sz w:val="32"/>
          <w:szCs w:val="32"/>
        </w:rPr>
        <w:t xml:space="preserve"> 32%</w:t>
      </w:r>
      <w:r>
        <w:rPr>
          <w:rFonts w:ascii="仿宋_GB2312" w:eastAsia="仿宋_GB2312" w:hAnsi="宋体" w:cs="宋体" w:hint="eastAsia"/>
          <w:sz w:val="32"/>
          <w:szCs w:val="32"/>
        </w:rPr>
        <w:t>。</w:t>
      </w:r>
    </w:p>
    <w:p w:rsidR="00494134" w:rsidRDefault="00494134">
      <w:pPr>
        <w:spacing w:line="540" w:lineRule="exact"/>
        <w:ind w:firstLine="600"/>
        <w:rPr>
          <w:rFonts w:ascii="仿宋_GB2312" w:eastAsia="仿宋_GB2312" w:hAnsi="仿宋_GB2312" w:cs="仿宋_GB2312"/>
          <w:color w:val="222222"/>
          <w:sz w:val="32"/>
          <w:szCs w:val="32"/>
        </w:rPr>
      </w:pPr>
      <w:r>
        <w:rPr>
          <w:rFonts w:ascii="仿宋_GB2312" w:eastAsia="仿宋_GB2312" w:hAnsi="宋体" w:cs="宋体" w:hint="eastAsia"/>
          <w:sz w:val="32"/>
          <w:szCs w:val="32"/>
        </w:rPr>
        <w:t>公司成立以来，致力于</w:t>
      </w:r>
      <w:r>
        <w:rPr>
          <w:rFonts w:ascii="仿宋_GB2312" w:eastAsia="仿宋_GB2312" w:hAnsi="??_GB2312" w:cs="??_GB2312"/>
          <w:sz w:val="32"/>
          <w:szCs w:val="32"/>
        </w:rPr>
        <w:t>2+1</w:t>
      </w:r>
      <w:r>
        <w:rPr>
          <w:rFonts w:ascii="仿宋_GB2312" w:eastAsia="仿宋_GB2312" w:hAnsi="宋体" w:cs="宋体" w:hint="eastAsia"/>
          <w:sz w:val="32"/>
          <w:szCs w:val="32"/>
        </w:rPr>
        <w:t>混合所有制模式的探索和创新，走出了一条在混合所有制模式下高效稳健发展的新路。公司先后被评为省节能减排示范单位和管理创新先进单位，获得省级</w:t>
      </w:r>
      <w:r>
        <w:rPr>
          <w:rFonts w:ascii="仿宋_GB2312" w:eastAsia="仿宋_GB2312" w:hAnsi="??_GB2312" w:cs="??_GB2312" w:hint="eastAsia"/>
          <w:sz w:val="32"/>
          <w:szCs w:val="32"/>
        </w:rPr>
        <w:t>“</w:t>
      </w:r>
      <w:r>
        <w:rPr>
          <w:rFonts w:ascii="仿宋_GB2312" w:eastAsia="仿宋_GB2312" w:hAnsi="??_GB2312" w:cs="??_GB2312"/>
          <w:sz w:val="32"/>
          <w:szCs w:val="32"/>
        </w:rPr>
        <w:t>AAA</w:t>
      </w:r>
      <w:r>
        <w:rPr>
          <w:rFonts w:ascii="仿宋_GB2312" w:eastAsia="仿宋_GB2312" w:hAnsi="??_GB2312" w:cs="??_GB2312" w:hint="eastAsia"/>
          <w:sz w:val="32"/>
          <w:szCs w:val="32"/>
        </w:rPr>
        <w:t>”</w:t>
      </w:r>
      <w:r>
        <w:rPr>
          <w:rFonts w:ascii="仿宋_GB2312" w:eastAsia="仿宋_GB2312" w:hAnsi="宋体" w:cs="宋体" w:hint="eastAsia"/>
          <w:sz w:val="32"/>
          <w:szCs w:val="32"/>
        </w:rPr>
        <w:t>级诚信企业称号，</w:t>
      </w:r>
      <w:r>
        <w:rPr>
          <w:rFonts w:ascii="仿宋_GB2312" w:eastAsia="仿宋_GB2312" w:hAnsi="仿宋" w:cs="仿宋"/>
          <w:sz w:val="32"/>
          <w:szCs w:val="32"/>
        </w:rPr>
        <w:t>2005</w:t>
      </w:r>
      <w:r>
        <w:rPr>
          <w:rFonts w:ascii="仿宋_GB2312" w:eastAsia="仿宋_GB2312" w:hAnsi="仿宋" w:cs="仿宋" w:hint="eastAsia"/>
          <w:sz w:val="32"/>
          <w:szCs w:val="32"/>
        </w:rPr>
        <w:t>年通过国家首批焦化行业准入，</w:t>
      </w:r>
      <w:r>
        <w:rPr>
          <w:rFonts w:ascii="仿宋_GB2312" w:eastAsia="仿宋_GB2312" w:hAnsi="??_GB2312" w:cs="??_GB2312"/>
          <w:sz w:val="32"/>
          <w:szCs w:val="32"/>
        </w:rPr>
        <w:t>2019</w:t>
      </w:r>
      <w:r>
        <w:rPr>
          <w:rFonts w:ascii="仿宋_GB2312" w:eastAsia="仿宋_GB2312" w:hAnsi="宋体" w:cs="宋体" w:hint="eastAsia"/>
          <w:sz w:val="32"/>
          <w:szCs w:val="32"/>
        </w:rPr>
        <w:t>年</w:t>
      </w:r>
      <w:r>
        <w:rPr>
          <w:rFonts w:ascii="仿宋_GB2312" w:eastAsia="仿宋_GB2312" w:hAnsi="仿宋" w:cs="仿宋" w:hint="eastAsia"/>
          <w:sz w:val="32"/>
          <w:szCs w:val="32"/>
        </w:rPr>
        <w:t>获批为</w:t>
      </w:r>
      <w:r>
        <w:rPr>
          <w:rFonts w:ascii="仿宋_GB2312" w:eastAsia="仿宋_GB2312" w:hAnsi="宋体" w:cs="宋体" w:hint="eastAsia"/>
          <w:sz w:val="32"/>
          <w:szCs w:val="32"/>
        </w:rPr>
        <w:t>山东省首批化工重点监控点企业园区。</w:t>
      </w:r>
    </w:p>
    <w:p w:rsidR="00494134" w:rsidRDefault="00494134" w:rsidP="001A2B68">
      <w:p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二、董事会报告摘要</w:t>
      </w:r>
    </w:p>
    <w:p w:rsidR="00494134" w:rsidRDefault="00494134">
      <w:pPr>
        <w:spacing w:line="500" w:lineRule="exact"/>
        <w:ind w:firstLine="570"/>
        <w:rPr>
          <w:rFonts w:ascii="仿宋_GB2312" w:eastAsia="仿宋_GB2312" w:hAnsi="仿宋_GB2312" w:cs="仿宋_GB2312"/>
          <w:kern w:val="0"/>
          <w:sz w:val="32"/>
          <w:szCs w:val="32"/>
          <w:lang/>
        </w:rPr>
      </w:pPr>
      <w:r>
        <w:rPr>
          <w:rFonts w:ascii="黑体" w:eastAsia="黑体" w:hAnsi="黑体" w:cs="黑体" w:hint="eastAsia"/>
          <w:bCs/>
          <w:color w:val="000000"/>
          <w:kern w:val="0"/>
          <w:sz w:val="32"/>
          <w:szCs w:val="32"/>
          <w:lang/>
        </w:rPr>
        <w:t>（一）通报</w:t>
      </w:r>
      <w:r>
        <w:rPr>
          <w:rFonts w:ascii="黑体" w:eastAsia="黑体" w:hAnsi="黑体" w:cs="黑体" w:hint="eastAsia"/>
          <w:bCs/>
          <w:sz w:val="32"/>
          <w:szCs w:val="32"/>
        </w:rPr>
        <w:t>临时股东决议情况</w:t>
      </w:r>
      <w:r>
        <w:rPr>
          <w:rFonts w:ascii="黑体" w:eastAsia="黑体" w:hAnsi="黑体" w:cs="黑体" w:hint="eastAsia"/>
          <w:bCs/>
          <w:kern w:val="0"/>
          <w:sz w:val="32"/>
          <w:szCs w:val="32"/>
          <w:lang/>
        </w:rPr>
        <w:t>。</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25</w:t>
      </w:r>
      <w:r>
        <w:rPr>
          <w:rFonts w:ascii="仿宋_GB2312" w:eastAsia="仿宋_GB2312" w:hAnsi="仿宋_GB2312" w:cs="仿宋_GB2312" w:hint="eastAsia"/>
          <w:sz w:val="32"/>
          <w:szCs w:val="32"/>
        </w:rPr>
        <w:t>日，根据《公司法》、《盛隆化工有限公司章程》规定，盛隆公司在三楼会议室召开了盛隆化工有限公司</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年临时股东会议，会议审议了“关于授权盛隆公司经理层加快开展与山西泰达新能源公司项目合作调研论证的议案”，三方股东通过讨论，形成统一意见</w:t>
      </w:r>
      <w:r>
        <w:rPr>
          <w:rFonts w:ascii="仿宋_GB2312" w:eastAsia="仿宋_GB2312" w:hAnsi="仿宋_GB2312" w:cs="仿宋_GB2312" w:hint="eastAsia"/>
          <w:kern w:val="0"/>
          <w:sz w:val="32"/>
          <w:szCs w:val="32"/>
          <w:lang/>
        </w:rPr>
        <w:t>。</w:t>
      </w:r>
    </w:p>
    <w:p w:rsidR="00494134" w:rsidRDefault="00494134">
      <w:pPr>
        <w:spacing w:line="500" w:lineRule="exact"/>
        <w:ind w:firstLine="570"/>
        <w:rPr>
          <w:rFonts w:ascii="仿宋_GB2312" w:eastAsia="仿宋_GB2312" w:hAnsi="仿宋_GB2312" w:cs="仿宋_GB2312"/>
          <w:kern w:val="0"/>
          <w:sz w:val="32"/>
          <w:szCs w:val="32"/>
        </w:rPr>
      </w:pPr>
      <w:r>
        <w:rPr>
          <w:rFonts w:ascii="黑体" w:eastAsia="黑体" w:hAnsi="黑体" w:cs="黑体" w:hint="eastAsia"/>
          <w:bCs/>
          <w:sz w:val="32"/>
          <w:szCs w:val="32"/>
        </w:rPr>
        <w:t>（二）</w:t>
      </w:r>
      <w:r>
        <w:rPr>
          <w:rFonts w:ascii="黑体" w:eastAsia="黑体" w:hAnsi="黑体" w:cs="黑体" w:hint="eastAsia"/>
          <w:bCs/>
          <w:color w:val="000000"/>
          <w:kern w:val="0"/>
          <w:sz w:val="32"/>
          <w:szCs w:val="32"/>
          <w:lang/>
        </w:rPr>
        <w:t>通报</w:t>
      </w:r>
      <w:r>
        <w:rPr>
          <w:rFonts w:ascii="黑体" w:eastAsia="黑体" w:hAnsi="黑体" w:cs="黑体" w:hint="eastAsia"/>
          <w:bCs/>
          <w:sz w:val="32"/>
          <w:szCs w:val="32"/>
        </w:rPr>
        <w:t>常规股东会、董事会决议情况</w:t>
      </w:r>
      <w:r>
        <w:rPr>
          <w:rFonts w:ascii="黑体" w:eastAsia="黑体" w:hAnsi="黑体" w:cs="黑体" w:hint="eastAsia"/>
          <w:bCs/>
          <w:kern w:val="0"/>
          <w:sz w:val="32"/>
          <w:szCs w:val="32"/>
          <w:lang/>
        </w:rPr>
        <w:t>。</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日，</w:t>
      </w:r>
      <w:r>
        <w:rPr>
          <w:rFonts w:ascii="仿宋_GB2312" w:eastAsia="仿宋_GB2312" w:hAnsi="仿宋_GB2312" w:cs="仿宋_GB2312" w:hint="eastAsia"/>
          <w:kern w:val="0"/>
          <w:sz w:val="32"/>
          <w:szCs w:val="32"/>
        </w:rPr>
        <w:t>根据《公司法》和《盛隆化工有限公司章程》规定，</w:t>
      </w:r>
      <w:r>
        <w:rPr>
          <w:rFonts w:ascii="仿宋_GB2312" w:eastAsia="仿宋_GB2312" w:hAnsi="仿宋_GB2312" w:cs="仿宋_GB2312" w:hint="eastAsia"/>
          <w:sz w:val="32"/>
          <w:szCs w:val="32"/>
        </w:rPr>
        <w:t>盛隆公司</w:t>
      </w:r>
      <w:r>
        <w:rPr>
          <w:rFonts w:ascii="仿宋_GB2312" w:eastAsia="仿宋_GB2312" w:hAnsi="仿宋_GB2312" w:cs="仿宋_GB2312" w:hint="eastAsia"/>
          <w:kern w:val="0"/>
          <w:sz w:val="32"/>
          <w:szCs w:val="32"/>
        </w:rPr>
        <w:t>召开了</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年股东会暨董事会四届六次会议，</w:t>
      </w:r>
      <w:r>
        <w:rPr>
          <w:rFonts w:ascii="仿宋_GB2312" w:eastAsia="仿宋_GB2312" w:hAnsi="仿宋_GB2312" w:cs="仿宋_GB2312" w:hint="eastAsia"/>
          <w:kern w:val="0"/>
          <w:sz w:val="32"/>
          <w:szCs w:val="32"/>
        </w:rPr>
        <w:t>会议审议通过了《关于开展投资山西泰达新能源有限公司焦化项目前期工作的议案》等议案，通过三方股东讨论研究，形成一致意见。</w:t>
      </w:r>
      <w:bookmarkStart w:id="0" w:name="_GoBack"/>
      <w:bookmarkEnd w:id="0"/>
    </w:p>
    <w:p w:rsidR="00494134" w:rsidRDefault="00494134" w:rsidP="001A2B68">
      <w:pPr>
        <w:adjustRightInd w:val="0"/>
        <w:snapToGrid w:val="0"/>
        <w:spacing w:line="560" w:lineRule="exact"/>
        <w:ind w:firstLineChars="200" w:firstLine="31680"/>
        <w:rPr>
          <w:rFonts w:ascii="黑体" w:eastAsia="黑体" w:hAnsi="黑体" w:cs="黑体"/>
          <w:bCs/>
          <w:color w:val="000000"/>
          <w:kern w:val="0"/>
          <w:sz w:val="32"/>
          <w:szCs w:val="32"/>
          <w:lang/>
        </w:rPr>
      </w:pPr>
      <w:r>
        <w:rPr>
          <w:rFonts w:ascii="黑体" w:eastAsia="黑体" w:hAnsi="黑体" w:cs="黑体" w:hint="eastAsia"/>
          <w:bCs/>
          <w:color w:val="000000"/>
          <w:kern w:val="0"/>
          <w:sz w:val="32"/>
          <w:szCs w:val="32"/>
          <w:lang/>
        </w:rPr>
        <w:t>（三）</w:t>
      </w:r>
      <w:r>
        <w:rPr>
          <w:rFonts w:ascii="黑体" w:eastAsia="黑体" w:hAnsi="黑体" w:cs="黑体"/>
          <w:bCs/>
          <w:color w:val="000000"/>
          <w:kern w:val="0"/>
          <w:sz w:val="32"/>
          <w:szCs w:val="32"/>
          <w:lang/>
        </w:rPr>
        <w:t>2020</w:t>
      </w:r>
      <w:r>
        <w:rPr>
          <w:rFonts w:ascii="黑体" w:eastAsia="黑体" w:hAnsi="黑体" w:cs="黑体" w:hint="eastAsia"/>
          <w:bCs/>
          <w:sz w:val="32"/>
          <w:szCs w:val="32"/>
        </w:rPr>
        <w:t>主要工作回顾及下步规划</w:t>
      </w:r>
      <w:r>
        <w:rPr>
          <w:rFonts w:ascii="黑体" w:eastAsia="黑体" w:hAnsi="黑体" w:cs="黑体" w:hint="eastAsia"/>
          <w:bCs/>
          <w:color w:val="000000"/>
          <w:kern w:val="0"/>
          <w:sz w:val="32"/>
          <w:szCs w:val="32"/>
          <w:lang/>
        </w:rPr>
        <w:t>。</w:t>
      </w:r>
    </w:p>
    <w:p w:rsidR="00494134" w:rsidRDefault="00494134" w:rsidP="001A2B68">
      <w:pPr>
        <w:adjustRightInd w:val="0"/>
        <w:snapToGrid w:val="0"/>
        <w:spacing w:line="560" w:lineRule="exact"/>
        <w:ind w:firstLineChars="200" w:firstLine="31680"/>
        <w:rPr>
          <w:rFonts w:ascii="仿宋_GB2312" w:eastAsia="仿宋_GB2312" w:hAnsi="仿宋_GB2312" w:cs="仿宋_GB2312"/>
          <w:kern w:val="0"/>
          <w:sz w:val="32"/>
          <w:szCs w:val="32"/>
          <w:lang/>
        </w:rPr>
      </w:pPr>
      <w:r>
        <w:rPr>
          <w:rFonts w:ascii="仿宋_GB2312" w:eastAsia="仿宋_GB2312" w:hAnsi="仿宋_GB2312" w:cs="仿宋_GB2312" w:hint="eastAsia"/>
          <w:sz w:val="32"/>
          <w:szCs w:val="32"/>
        </w:rPr>
        <w:t>盛隆公司董事会认真按照《公司法》、《公司章程》的规定和股东大会决议，就经营效益、</w:t>
      </w:r>
      <w:r>
        <w:rPr>
          <w:rFonts w:ascii="仿宋_GB2312" w:eastAsia="仿宋_GB2312" w:hAnsi="仿宋_GB2312" w:cs="仿宋_GB2312" w:hint="eastAsia"/>
          <w:bCs/>
          <w:sz w:val="32"/>
          <w:szCs w:val="32"/>
        </w:rPr>
        <w:t>结构治理、企业发展、目标任务等方面工作进行了全</w:t>
      </w:r>
      <w:r>
        <w:rPr>
          <w:rFonts w:ascii="仿宋_GB2312" w:eastAsia="仿宋_GB2312" w:hAnsi="仿宋_GB2312" w:cs="仿宋_GB2312" w:hint="eastAsia"/>
          <w:sz w:val="32"/>
          <w:szCs w:val="32"/>
        </w:rPr>
        <w:t>面分析。针对新局势、新发展方向开展了深入探讨与研究，形成了统一意见与具体工作措施，有效</w:t>
      </w:r>
      <w:r>
        <w:rPr>
          <w:rFonts w:ascii="仿宋_GB2312" w:eastAsia="仿宋_GB2312" w:hAnsi="仿宋_GB2312" w:cs="仿宋_GB2312" w:hint="eastAsia"/>
          <w:kern w:val="0"/>
          <w:sz w:val="32"/>
          <w:szCs w:val="32"/>
          <w:lang/>
        </w:rPr>
        <w:t>保障了三方股东的权益。</w:t>
      </w:r>
    </w:p>
    <w:p w:rsidR="00494134" w:rsidRDefault="00494134" w:rsidP="001A2B68">
      <w:pPr>
        <w:adjustRightInd w:val="0"/>
        <w:snapToGrid w:val="0"/>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四、审计报告摘要</w:t>
      </w:r>
    </w:p>
    <w:p w:rsidR="00494134" w:rsidRDefault="00494134" w:rsidP="00BE6BA6">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中天运会计师事务所（特殊普通合伙）审计我公司财务报表，包括</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日的合并资产负债表，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年度的合并利润表、合并现金流量表、合并所有者权益变动表以及相关财务报表附注后，认为后附的财务报表在所有重大方面按照企业会计准则的规定编制，公允反映了公司</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日合并财务状况以及</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年度合并经营成果和合并现金流量，出具了审计报告。</w:t>
      </w:r>
    </w:p>
    <w:sectPr w:rsidR="00494134" w:rsidSect="0091688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134" w:rsidRDefault="00494134" w:rsidP="0091688E">
      <w:r>
        <w:separator/>
      </w:r>
    </w:p>
  </w:endnote>
  <w:endnote w:type="continuationSeparator" w:id="0">
    <w:p w:rsidR="00494134" w:rsidRDefault="00494134" w:rsidP="00916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楷体_GB2312"/>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34" w:rsidRDefault="0049413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94134" w:rsidRDefault="00494134">
                <w:pPr>
                  <w:pStyle w:val="Footer"/>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134" w:rsidRDefault="00494134" w:rsidP="0091688E">
      <w:r>
        <w:separator/>
      </w:r>
    </w:p>
  </w:footnote>
  <w:footnote w:type="continuationSeparator" w:id="0">
    <w:p w:rsidR="00494134" w:rsidRDefault="00494134" w:rsidP="009168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1A2B68"/>
    <w:rsid w:val="002A77F5"/>
    <w:rsid w:val="00494134"/>
    <w:rsid w:val="0091688E"/>
    <w:rsid w:val="00BE6BA6"/>
    <w:rsid w:val="04415DC2"/>
    <w:rsid w:val="06044F41"/>
    <w:rsid w:val="0681603F"/>
    <w:rsid w:val="087856BA"/>
    <w:rsid w:val="0B3A0E89"/>
    <w:rsid w:val="12360951"/>
    <w:rsid w:val="166B605D"/>
    <w:rsid w:val="1B8E51EB"/>
    <w:rsid w:val="1BA00741"/>
    <w:rsid w:val="1E2B38B7"/>
    <w:rsid w:val="1E4C60B5"/>
    <w:rsid w:val="27B35306"/>
    <w:rsid w:val="29A71264"/>
    <w:rsid w:val="2A545279"/>
    <w:rsid w:val="2C5800BF"/>
    <w:rsid w:val="2D181107"/>
    <w:rsid w:val="2D852ADB"/>
    <w:rsid w:val="312A655A"/>
    <w:rsid w:val="31827E8B"/>
    <w:rsid w:val="3A910F04"/>
    <w:rsid w:val="42B75B9E"/>
    <w:rsid w:val="44135090"/>
    <w:rsid w:val="48B71A0C"/>
    <w:rsid w:val="503F0014"/>
    <w:rsid w:val="55CF3B74"/>
    <w:rsid w:val="58D111F3"/>
    <w:rsid w:val="5EEB0677"/>
    <w:rsid w:val="64EE3E34"/>
    <w:rsid w:val="6BA543F7"/>
    <w:rsid w:val="6D9B673A"/>
    <w:rsid w:val="6E1A434C"/>
    <w:rsid w:val="704E20F8"/>
    <w:rsid w:val="755835AE"/>
    <w:rsid w:val="763E4625"/>
    <w:rsid w:val="796E15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3"/>
    <w:qFormat/>
    <w:rsid w:val="0091688E"/>
    <w:pPr>
      <w:widowControl w:val="0"/>
      <w:jc w:val="both"/>
    </w:pPr>
    <w:rPr>
      <w:rFonts w:ascii="Calibri" w:hAnsi="Calibri"/>
      <w:szCs w:val="24"/>
    </w:rPr>
  </w:style>
  <w:style w:type="paragraph" w:styleId="Heading3">
    <w:name w:val="heading 3"/>
    <w:basedOn w:val="Normal"/>
    <w:next w:val="Normal"/>
    <w:link w:val="Heading3Char"/>
    <w:uiPriority w:val="99"/>
    <w:qFormat/>
    <w:rsid w:val="0091688E"/>
    <w:pPr>
      <w:adjustRightInd w:val="0"/>
      <w:snapToGrid w:val="0"/>
      <w:spacing w:line="600" w:lineRule="exact"/>
      <w:ind w:firstLineChars="200" w:firstLine="420"/>
      <w:outlineLvl w:val="2"/>
    </w:pPr>
    <w:rPr>
      <w:rFonts w:eastAsia="楷体"/>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A7450"/>
    <w:rPr>
      <w:rFonts w:ascii="Calibri" w:hAnsi="Calibri"/>
      <w:b/>
      <w:bCs/>
      <w:sz w:val="32"/>
      <w:szCs w:val="32"/>
    </w:rPr>
  </w:style>
  <w:style w:type="paragraph" w:styleId="NoteHeading">
    <w:name w:val="Note Heading"/>
    <w:basedOn w:val="Normal"/>
    <w:next w:val="Normal"/>
    <w:link w:val="NoteHeadingChar"/>
    <w:uiPriority w:val="99"/>
    <w:rsid w:val="0091688E"/>
    <w:pPr>
      <w:jc w:val="center"/>
    </w:pPr>
  </w:style>
  <w:style w:type="character" w:customStyle="1" w:styleId="NoteHeadingChar">
    <w:name w:val="Note Heading Char"/>
    <w:basedOn w:val="DefaultParagraphFont"/>
    <w:link w:val="NoteHeading"/>
    <w:uiPriority w:val="99"/>
    <w:semiHidden/>
    <w:rsid w:val="000A7450"/>
    <w:rPr>
      <w:rFonts w:ascii="Calibri" w:hAnsi="Calibri"/>
      <w:szCs w:val="24"/>
    </w:rPr>
  </w:style>
  <w:style w:type="paragraph" w:styleId="Footer">
    <w:name w:val="footer"/>
    <w:basedOn w:val="Normal"/>
    <w:link w:val="FooterChar"/>
    <w:uiPriority w:val="99"/>
    <w:rsid w:val="0091688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A7450"/>
    <w:rPr>
      <w:rFonts w:ascii="Calibri" w:hAnsi="Calibri"/>
      <w:sz w:val="18"/>
      <w:szCs w:val="18"/>
    </w:rPr>
  </w:style>
  <w:style w:type="paragraph" w:styleId="Header">
    <w:name w:val="header"/>
    <w:basedOn w:val="Normal"/>
    <w:link w:val="HeaderChar"/>
    <w:uiPriority w:val="99"/>
    <w:rsid w:val="0091688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A7450"/>
    <w:rPr>
      <w:rFonts w:ascii="Calibri" w:hAnsi="Calibri"/>
      <w:sz w:val="18"/>
      <w:szCs w:val="18"/>
    </w:rPr>
  </w:style>
  <w:style w:type="paragraph" w:styleId="NormalWeb">
    <w:name w:val="Normal (Web)"/>
    <w:basedOn w:val="Normal"/>
    <w:uiPriority w:val="99"/>
    <w:rsid w:val="0091688E"/>
    <w:pPr>
      <w:wordWrap w:val="0"/>
      <w:jc w:val="left"/>
    </w:pPr>
    <w:rPr>
      <w:kern w:val="0"/>
      <w:sz w:val="24"/>
    </w:rPr>
  </w:style>
  <w:style w:type="table" w:styleId="TableGrid">
    <w:name w:val="Table Grid"/>
    <w:basedOn w:val="TableNormal"/>
    <w:uiPriority w:val="99"/>
    <w:rsid w:val="0091688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91688E"/>
    <w:rPr>
      <w:rFonts w:cs="Times New Roman"/>
      <w:color w:val="222222"/>
      <w:u w:val="none"/>
    </w:rPr>
  </w:style>
  <w:style w:type="character" w:styleId="Hyperlink">
    <w:name w:val="Hyperlink"/>
    <w:basedOn w:val="DefaultParagraphFont"/>
    <w:uiPriority w:val="99"/>
    <w:rsid w:val="0091688E"/>
    <w:rPr>
      <w:rFonts w:cs="Times New Roman"/>
      <w:color w:val="222222"/>
      <w:u w:val="none"/>
    </w:rPr>
  </w:style>
  <w:style w:type="character" w:customStyle="1" w:styleId="time4">
    <w:name w:val="time4"/>
    <w:basedOn w:val="DefaultParagraphFont"/>
    <w:uiPriority w:val="99"/>
    <w:rsid w:val="0091688E"/>
    <w:rPr>
      <w:rFonts w:cs="Times New Roman"/>
      <w:color w:val="88888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Pages>
  <Words>209</Words>
  <Characters>1193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cp:lastPrinted>2021-06-24T00:07:00Z</cp:lastPrinted>
  <dcterms:created xsi:type="dcterms:W3CDTF">2021-06-17T13:33:00Z</dcterms:created>
  <dcterms:modified xsi:type="dcterms:W3CDTF">2021-09-01T08:13:00Z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