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420" w:firstLineChars="55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2420" w:firstLineChars="55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枣庄矿业集团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新安煤业有限公司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财务等重大信息公告</w:t>
      </w:r>
    </w:p>
    <w:bookmarkEnd w:id="0"/>
    <w:p>
      <w:pPr>
        <w:spacing w:line="560" w:lineRule="exact"/>
        <w:ind w:firstLine="420" w:firstLineChars="200"/>
      </w:pPr>
    </w:p>
    <w:p>
      <w:pPr>
        <w:spacing w:line="6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重要提示</w:t>
      </w:r>
    </w:p>
    <w:p>
      <w:pPr>
        <w:spacing w:line="640" w:lineRule="exact"/>
        <w:ind w:firstLine="420" w:firstLineChars="200"/>
      </w:pPr>
    </w:p>
    <w:p>
      <w:pPr>
        <w:spacing w:line="64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</w:t>
      </w:r>
      <w:r>
        <w:rPr>
          <w:rFonts w:ascii="黑体" w:hAnsi="黑体" w:eastAsia="黑体" w:cs="黑体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spacing w:line="64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一、公司基本情况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1.统一社会信用代码：9137000068829312XW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2.企业名称：枣庄矿业集团新安煤业有限公司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3.法定代表人：秦鹏远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4.类型：有限责任公司（非自然人投资或控股的法人独资）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5.成立日期：2009年02月24日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6.注册资本：84613.8522万人民币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7.核准日期：2020年5月11日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8.营业期限自：2009年02月24日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9.登记机关：济宁市行政审批服务局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10.登记状态：在营（开业）企业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11.住所：济宁市微山县留庄镇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12.邮政编码：277642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13.电子信箱:xamkflzx@163.com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14.经营范围：煤炭开采、洗选、销售。（有效期限以许可证为准）。矿山设备、机电产品销售；矿山设备租赁；为矿山企业提供采矿委托管理和咨询服务；矿业技术咨询、技术服务；矿山企业管理、服务；煤炭资源调查；矿山工程施工承包；工程项目管理。（依法须经批准的项目，经相关部门批准后方可开展经营活动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15.公司简介：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新安煤业有限公司隶属于枣庄矿业（集团）有限责任公司，为省属国有煤矿。</w:t>
      </w:r>
      <w:r>
        <w:rPr>
          <w:rFonts w:hint="eastAsia" w:eastAsia="仿宋_GB2312"/>
          <w:sz w:val="32"/>
          <w:szCs w:val="32"/>
        </w:rPr>
        <w:t>矿井位于济宁市微山县留庄镇境内，</w:t>
      </w:r>
      <w:r>
        <w:rPr>
          <w:rFonts w:hint="eastAsia" w:ascii="仿宋_GB2312" w:hAnsi="仿宋_GB2312" w:eastAsia="仿宋_GB2312" w:cs="仿宋_GB2312"/>
          <w:sz w:val="32"/>
          <w:szCs w:val="32"/>
        </w:rPr>
        <w:t>西邻微山湖和京杭大运河，东靠京福高速公路和京沪铁路，铁路、水路、陆路方便。井田面积52.4km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开采3(3上）、3下、12下、14、16层煤，主要煤种为优质气煤、气肥煤和1/3焦煤。矿井于1998年8月开工建设，2002年1月1日正式投产，下辖新安（1#）、新源（2#）“两井”，2014年12月完成资源整合技术改造，核定生产能力为420万吨/年。2020年8月25日，山东省发展和改革委员会下发了《山东省发展和改革委员会关于公布2020年全省化解煤炭过剩产能调整方案的通知》，将矿井核定产能调整为350万吨/年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建矿初期，由于受经济危机影响，矿井在国家没有投资一分钱的情况下，由企业与职工共同出资建设而成；建设中坚持投资主体多元化，企业不办社会，后勤引入市场化运作，人员全部劳务输入，以新井新机制打造了新安模式。 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pStyle w:val="2"/>
        <w:ind w:firstLine="640"/>
        <w:rPr>
          <w:rFonts w:ascii="仿宋_GB2312" w:hAnsi="仿宋" w:cs="仿宋"/>
          <w:szCs w:val="32"/>
        </w:rPr>
      </w:pPr>
    </w:p>
    <w:p>
      <w:pPr>
        <w:pStyle w:val="2"/>
        <w:ind w:firstLine="640"/>
        <w:rPr>
          <w:rFonts w:ascii="仿宋_GB2312" w:hAnsi="仿宋" w:cs="仿宋"/>
          <w:szCs w:val="32"/>
        </w:rPr>
      </w:pPr>
    </w:p>
    <w:p>
      <w:pPr>
        <w:pStyle w:val="2"/>
        <w:ind w:firstLine="640"/>
        <w:rPr>
          <w:rFonts w:ascii="仿宋_GB2312" w:hAnsi="仿宋" w:cs="仿宋"/>
          <w:szCs w:val="32"/>
        </w:rPr>
      </w:pPr>
    </w:p>
    <w:p>
      <w:pPr>
        <w:pStyle w:val="2"/>
        <w:ind w:firstLine="640"/>
        <w:rPr>
          <w:rFonts w:ascii="仿宋_GB2312" w:hAnsi="仿宋" w:cs="仿宋"/>
          <w:szCs w:val="32"/>
        </w:rPr>
      </w:pPr>
    </w:p>
    <w:p>
      <w:pPr>
        <w:pStyle w:val="2"/>
        <w:ind w:firstLine="640"/>
        <w:rPr>
          <w:rFonts w:ascii="仿宋_GB2312" w:hAnsi="仿宋" w:cs="仿宋"/>
          <w:szCs w:val="32"/>
        </w:rPr>
      </w:pPr>
    </w:p>
    <w:p>
      <w:pPr>
        <w:pStyle w:val="2"/>
        <w:ind w:firstLine="640"/>
        <w:rPr>
          <w:rFonts w:ascii="仿宋_GB2312" w:hAnsi="仿宋" w:cs="仿宋"/>
          <w:szCs w:val="32"/>
        </w:rPr>
      </w:pPr>
    </w:p>
    <w:p>
      <w:pPr>
        <w:pStyle w:val="2"/>
        <w:ind w:firstLine="640"/>
        <w:rPr>
          <w:rFonts w:ascii="仿宋_GB2312" w:hAnsi="仿宋" w:cs="仿宋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二、主要会计数据和财务指标</w:t>
      </w:r>
    </w:p>
    <w:p>
      <w:pPr>
        <w:pStyle w:val="6"/>
        <w:spacing w:line="58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1.主要会计数据和财务数据。</w:t>
      </w:r>
    </w:p>
    <w:tbl>
      <w:tblPr>
        <w:tblStyle w:val="9"/>
        <w:tblW w:w="846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2359"/>
        <w:gridCol w:w="1923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32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主要指标</w:t>
            </w:r>
          </w:p>
        </w:tc>
        <w:tc>
          <w:tcPr>
            <w:tcW w:w="235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本期金额（万元）</w:t>
            </w:r>
          </w:p>
        </w:tc>
        <w:tc>
          <w:tcPr>
            <w:tcW w:w="192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上期金额（万元）</w:t>
            </w:r>
          </w:p>
        </w:tc>
        <w:tc>
          <w:tcPr>
            <w:tcW w:w="185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变动比例（%）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营业收入</w:t>
            </w:r>
          </w:p>
        </w:tc>
        <w:tc>
          <w:tcPr>
            <w:tcW w:w="2359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21,316.12</w:t>
            </w:r>
          </w:p>
        </w:tc>
        <w:tc>
          <w:tcPr>
            <w:tcW w:w="1923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86,301.36</w:t>
            </w:r>
          </w:p>
        </w:tc>
        <w:tc>
          <w:tcPr>
            <w:tcW w:w="1854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-75.30%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营业成本</w:t>
            </w:r>
          </w:p>
        </w:tc>
        <w:tc>
          <w:tcPr>
            <w:tcW w:w="2359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24,014.50</w:t>
            </w:r>
          </w:p>
        </w:tc>
        <w:tc>
          <w:tcPr>
            <w:tcW w:w="1923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49,328.51</w:t>
            </w:r>
          </w:p>
        </w:tc>
        <w:tc>
          <w:tcPr>
            <w:tcW w:w="1854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-51.32%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销售费用</w:t>
            </w:r>
          </w:p>
        </w:tc>
        <w:tc>
          <w:tcPr>
            <w:tcW w:w="2359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947.48</w:t>
            </w:r>
          </w:p>
        </w:tc>
        <w:tc>
          <w:tcPr>
            <w:tcW w:w="1923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1,766.90</w:t>
            </w:r>
          </w:p>
        </w:tc>
        <w:tc>
          <w:tcPr>
            <w:tcW w:w="1854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-46.38%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管理费用</w:t>
            </w:r>
          </w:p>
        </w:tc>
        <w:tc>
          <w:tcPr>
            <w:tcW w:w="2359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14,083.92</w:t>
            </w:r>
          </w:p>
        </w:tc>
        <w:tc>
          <w:tcPr>
            <w:tcW w:w="1923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10,962.31</w:t>
            </w:r>
          </w:p>
        </w:tc>
        <w:tc>
          <w:tcPr>
            <w:tcW w:w="1854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38.58%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财务费用</w:t>
            </w:r>
          </w:p>
        </w:tc>
        <w:tc>
          <w:tcPr>
            <w:tcW w:w="2359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214.33</w:t>
            </w:r>
          </w:p>
        </w:tc>
        <w:tc>
          <w:tcPr>
            <w:tcW w:w="1923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215.84</w:t>
            </w:r>
          </w:p>
        </w:tc>
        <w:tc>
          <w:tcPr>
            <w:tcW w:w="1854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-0.70%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营业利润</w:t>
            </w:r>
          </w:p>
        </w:tc>
        <w:tc>
          <w:tcPr>
            <w:tcW w:w="2359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-20,033.54</w:t>
            </w:r>
          </w:p>
        </w:tc>
        <w:tc>
          <w:tcPr>
            <w:tcW w:w="1923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17,383.04</w:t>
            </w:r>
          </w:p>
        </w:tc>
        <w:tc>
          <w:tcPr>
            <w:tcW w:w="1854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-215.25%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投资收益</w:t>
            </w:r>
          </w:p>
        </w:tc>
        <w:tc>
          <w:tcPr>
            <w:tcW w:w="2359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1923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1854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营业外收支</w:t>
            </w:r>
          </w:p>
        </w:tc>
        <w:tc>
          <w:tcPr>
            <w:tcW w:w="2359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-73.71</w:t>
            </w:r>
          </w:p>
        </w:tc>
        <w:tc>
          <w:tcPr>
            <w:tcW w:w="1923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-470.34</w:t>
            </w:r>
          </w:p>
        </w:tc>
        <w:tc>
          <w:tcPr>
            <w:tcW w:w="1854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-84.33%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利润总额</w:t>
            </w:r>
          </w:p>
        </w:tc>
        <w:tc>
          <w:tcPr>
            <w:tcW w:w="2359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-20,107.25</w:t>
            </w:r>
          </w:p>
        </w:tc>
        <w:tc>
          <w:tcPr>
            <w:tcW w:w="1923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16,912.70</w:t>
            </w:r>
          </w:p>
        </w:tc>
        <w:tc>
          <w:tcPr>
            <w:tcW w:w="1854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-218.89%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税费总额</w:t>
            </w:r>
          </w:p>
        </w:tc>
        <w:tc>
          <w:tcPr>
            <w:tcW w:w="2359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2198.46</w:t>
            </w:r>
          </w:p>
        </w:tc>
        <w:tc>
          <w:tcPr>
            <w:tcW w:w="1923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13456.32</w:t>
            </w:r>
          </w:p>
        </w:tc>
        <w:tc>
          <w:tcPr>
            <w:tcW w:w="1854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-83.66%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净利润</w:t>
            </w:r>
          </w:p>
        </w:tc>
        <w:tc>
          <w:tcPr>
            <w:tcW w:w="2359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-20,107.25</w:t>
            </w:r>
          </w:p>
        </w:tc>
        <w:tc>
          <w:tcPr>
            <w:tcW w:w="1923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10,237.58</w:t>
            </w:r>
          </w:p>
        </w:tc>
        <w:tc>
          <w:tcPr>
            <w:tcW w:w="1854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-296.41%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营业利润率</w:t>
            </w:r>
          </w:p>
        </w:tc>
        <w:tc>
          <w:tcPr>
            <w:tcW w:w="2359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-93.98</w:t>
            </w:r>
          </w:p>
        </w:tc>
        <w:tc>
          <w:tcPr>
            <w:tcW w:w="1923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20.14</w:t>
            </w:r>
          </w:p>
        </w:tc>
        <w:tc>
          <w:tcPr>
            <w:tcW w:w="1854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-566.63%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净资产收益率</w:t>
            </w:r>
          </w:p>
        </w:tc>
        <w:tc>
          <w:tcPr>
            <w:tcW w:w="2359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-16.03</w:t>
            </w:r>
          </w:p>
        </w:tc>
        <w:tc>
          <w:tcPr>
            <w:tcW w:w="1923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7.18</w:t>
            </w:r>
          </w:p>
        </w:tc>
        <w:tc>
          <w:tcPr>
            <w:tcW w:w="1854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-323.26%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32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主要指标</w:t>
            </w:r>
          </w:p>
        </w:tc>
        <w:tc>
          <w:tcPr>
            <w:tcW w:w="2359" w:type="dxa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期末金额（万元）</w:t>
            </w:r>
          </w:p>
        </w:tc>
        <w:tc>
          <w:tcPr>
            <w:tcW w:w="1923" w:type="dxa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年初金额（万元）</w:t>
            </w:r>
          </w:p>
        </w:tc>
        <w:tc>
          <w:tcPr>
            <w:tcW w:w="1854" w:type="dxa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变动比例（%）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资产总额</w:t>
            </w:r>
          </w:p>
        </w:tc>
        <w:tc>
          <w:tcPr>
            <w:tcW w:w="2359" w:type="dxa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 xml:space="preserve">185,318.32 </w:t>
            </w:r>
          </w:p>
        </w:tc>
        <w:tc>
          <w:tcPr>
            <w:tcW w:w="1923" w:type="dxa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 xml:space="preserve">228,632.34 </w:t>
            </w:r>
          </w:p>
        </w:tc>
        <w:tc>
          <w:tcPr>
            <w:tcW w:w="1854" w:type="dxa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-18.94%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负债总额</w:t>
            </w:r>
          </w:p>
        </w:tc>
        <w:tc>
          <w:tcPr>
            <w:tcW w:w="2359" w:type="dxa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70303.34</w:t>
            </w:r>
          </w:p>
        </w:tc>
        <w:tc>
          <w:tcPr>
            <w:tcW w:w="1923" w:type="dxa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92761.82</w:t>
            </w:r>
          </w:p>
        </w:tc>
        <w:tc>
          <w:tcPr>
            <w:tcW w:w="1854" w:type="dxa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-</w:t>
            </w:r>
            <w:r>
              <w:rPr>
                <w:rFonts w:ascii="宋体" w:hAnsi="宋体" w:eastAsia="宋体" w:cs="宋体"/>
                <w:kern w:val="0"/>
                <w:sz w:val="22"/>
              </w:rPr>
              <w:t>24.21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所有者权益</w:t>
            </w:r>
          </w:p>
        </w:tc>
        <w:tc>
          <w:tcPr>
            <w:tcW w:w="2359" w:type="dxa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115014.98</w:t>
            </w:r>
          </w:p>
        </w:tc>
        <w:tc>
          <w:tcPr>
            <w:tcW w:w="1923" w:type="dxa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135870.52</w:t>
            </w:r>
          </w:p>
        </w:tc>
        <w:tc>
          <w:tcPr>
            <w:tcW w:w="1854" w:type="dxa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-</w:t>
            </w:r>
            <w:r>
              <w:rPr>
                <w:rFonts w:ascii="宋体" w:hAnsi="宋体" w:eastAsia="宋体" w:cs="宋体"/>
                <w:kern w:val="0"/>
                <w:sz w:val="22"/>
              </w:rPr>
              <w:t>15.35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%</w:t>
            </w:r>
          </w:p>
        </w:tc>
      </w:tr>
    </w:tbl>
    <w:p>
      <w:pPr>
        <w:widowControl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2.新安煤业有限公司2021年上半年无重要会计政策变更、重要会计估计变更、前期会计差错更正事项。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 </w:t>
      </w:r>
    </w:p>
    <w:sectPr>
      <w:pgSz w:w="11906" w:h="16838"/>
      <w:pgMar w:top="1440" w:right="1797" w:bottom="1440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6940"/>
    <w:rsid w:val="000624ED"/>
    <w:rsid w:val="00101936"/>
    <w:rsid w:val="001246C3"/>
    <w:rsid w:val="00153731"/>
    <w:rsid w:val="00166298"/>
    <w:rsid w:val="00175811"/>
    <w:rsid w:val="001A55EA"/>
    <w:rsid w:val="001C49FA"/>
    <w:rsid w:val="001D62A3"/>
    <w:rsid w:val="002834DB"/>
    <w:rsid w:val="0029441D"/>
    <w:rsid w:val="002D74D3"/>
    <w:rsid w:val="002E2EBB"/>
    <w:rsid w:val="00305DEF"/>
    <w:rsid w:val="003132C1"/>
    <w:rsid w:val="00366000"/>
    <w:rsid w:val="003718A7"/>
    <w:rsid w:val="00384897"/>
    <w:rsid w:val="00394AE7"/>
    <w:rsid w:val="004038F6"/>
    <w:rsid w:val="004B0B69"/>
    <w:rsid w:val="004B2384"/>
    <w:rsid w:val="006225FD"/>
    <w:rsid w:val="00665054"/>
    <w:rsid w:val="00666405"/>
    <w:rsid w:val="00691E45"/>
    <w:rsid w:val="007050B0"/>
    <w:rsid w:val="00746FCD"/>
    <w:rsid w:val="007849D0"/>
    <w:rsid w:val="007B2FE0"/>
    <w:rsid w:val="007B4B14"/>
    <w:rsid w:val="007F1166"/>
    <w:rsid w:val="00846A8B"/>
    <w:rsid w:val="00861B67"/>
    <w:rsid w:val="008F3C98"/>
    <w:rsid w:val="008F5B4D"/>
    <w:rsid w:val="00912A1A"/>
    <w:rsid w:val="009A4421"/>
    <w:rsid w:val="009C53F4"/>
    <w:rsid w:val="00A171D1"/>
    <w:rsid w:val="00A90812"/>
    <w:rsid w:val="00A9241C"/>
    <w:rsid w:val="00AA06D5"/>
    <w:rsid w:val="00B81292"/>
    <w:rsid w:val="00BD4596"/>
    <w:rsid w:val="00C50A3C"/>
    <w:rsid w:val="00CA4495"/>
    <w:rsid w:val="00CB5D7E"/>
    <w:rsid w:val="00D374AF"/>
    <w:rsid w:val="00D63AE8"/>
    <w:rsid w:val="00DC3022"/>
    <w:rsid w:val="00E07133"/>
    <w:rsid w:val="00E6447F"/>
    <w:rsid w:val="00EE6A72"/>
    <w:rsid w:val="00F02B89"/>
    <w:rsid w:val="00F26ABD"/>
    <w:rsid w:val="00F35889"/>
    <w:rsid w:val="00F46940"/>
    <w:rsid w:val="10FE4ACD"/>
    <w:rsid w:val="1B8F5056"/>
    <w:rsid w:val="2EB74115"/>
    <w:rsid w:val="2F8B3C2A"/>
    <w:rsid w:val="32DF46AF"/>
    <w:rsid w:val="51E7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adjustRightInd w:val="0"/>
      <w:snapToGrid w:val="0"/>
      <w:ind w:firstLine="200" w:firstLineChars="200"/>
    </w:pPr>
    <w:rPr>
      <w:rFonts w:ascii="Tahoma" w:hAnsi="Tahoma" w:eastAsia="仿宋_GB2312" w:cs="Times New Roman"/>
      <w:sz w:val="32"/>
      <w:szCs w:val="22"/>
      <w:lang w:val="en-US" w:eastAsia="zh-CN" w:bidi="ar-SA"/>
    </w:rPr>
  </w:style>
  <w:style w:type="paragraph" w:styleId="3">
    <w:name w:val="endnote text"/>
    <w:basedOn w:val="1"/>
    <w:link w:val="13"/>
    <w:semiHidden/>
    <w:unhideWhenUsed/>
    <w:qFormat/>
    <w:uiPriority w:val="99"/>
    <w:pPr>
      <w:snapToGrid w:val="0"/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2">
    <w:name w:val="Body text|1"/>
    <w:basedOn w:val="1"/>
    <w:qFormat/>
    <w:uiPriority w:val="0"/>
    <w:pPr>
      <w:spacing w:line="389" w:lineRule="auto"/>
      <w:ind w:firstLine="400"/>
      <w:jc w:val="left"/>
    </w:pPr>
    <w:rPr>
      <w:rFonts w:ascii="宋体" w:hAnsi="宋体" w:eastAsia="宋体" w:cs="宋体"/>
      <w:kern w:val="0"/>
      <w:sz w:val="32"/>
      <w:szCs w:val="32"/>
      <w:lang w:val="zh-TW" w:eastAsia="zh-TW" w:bidi="zh-TW"/>
    </w:rPr>
  </w:style>
  <w:style w:type="character" w:customStyle="1" w:styleId="13">
    <w:name w:val="尾注文本 字符"/>
    <w:basedOn w:val="7"/>
    <w:link w:val="3"/>
    <w:qFormat/>
    <w:uiPriority w:val="0"/>
    <w:rPr>
      <w:rFonts w:hint="default"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03FD9A-F754-48F2-8CAD-E3F2B01E80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239</Words>
  <Characters>1366</Characters>
  <Lines>11</Lines>
  <Paragraphs>3</Paragraphs>
  <TotalTime>14</TotalTime>
  <ScaleCrop>false</ScaleCrop>
  <LinksUpToDate>false</LinksUpToDate>
  <CharactersWithSpaces>1602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2021-12-25T03:54:00Z</dcterms:created>
  <dc:creator>User</dc:creator>
  <cp:lastModifiedBy>胡</cp:lastModifiedBy>
  <dcterms:modified xsi:type="dcterms:W3CDTF">2021-12-26T02:40:25Z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