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准格尔旗金正泰煤炭有限责任公司</w:t>
      </w:r>
    </w:p>
    <w:p>
      <w:pPr>
        <w:spacing w:line="560" w:lineRule="exact"/>
        <w:jc w:val="center"/>
        <w:rPr>
          <w:rFonts w:ascii="方正小标宋简体" w:hAnsi="方正小标宋简体" w:eastAsia="方正小标宋简体" w:cs="方正小标宋简体"/>
          <w:color w:val="FF0000"/>
          <w:sz w:val="32"/>
          <w:szCs w:val="32"/>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第</w:t>
      </w:r>
      <w:r>
        <w:rPr>
          <w:rFonts w:hint="eastAsia" w:ascii="方正小标宋简体" w:hAnsi="方正小标宋简体" w:eastAsia="方正小标宋简体" w:cs="方正小标宋简体"/>
          <w:sz w:val="44"/>
          <w:szCs w:val="44"/>
        </w:rPr>
        <w:t>三季度财务等重大信息公告</w:t>
      </w:r>
    </w:p>
    <w:p>
      <w:pPr>
        <w:spacing w:line="640" w:lineRule="exact"/>
        <w:ind w:firstLine="420" w:firstLineChars="200"/>
      </w:pPr>
    </w:p>
    <w:p>
      <w:pPr>
        <w:spacing w:line="640" w:lineRule="exact"/>
        <w:jc w:val="center"/>
        <w:rPr>
          <w:rFonts w:ascii="黑体" w:hAnsi="黑体" w:eastAsia="黑体" w:cs="黑体"/>
          <w:sz w:val="32"/>
          <w:szCs w:val="32"/>
        </w:rPr>
      </w:pPr>
      <w:r>
        <w:rPr>
          <w:rFonts w:hint="eastAsia" w:ascii="黑体" w:hAnsi="黑体" w:eastAsia="黑体" w:cs="黑体"/>
          <w:sz w:val="32"/>
          <w:szCs w:val="32"/>
        </w:rPr>
        <w:t>重要提示</w:t>
      </w:r>
    </w:p>
    <w:p>
      <w:pPr>
        <w:spacing w:line="640" w:lineRule="exact"/>
        <w:ind w:firstLine="640" w:firstLineChars="200"/>
        <w:rPr>
          <w:rFonts w:ascii="黑体" w:hAnsi="黑体" w:eastAsia="黑体" w:cs="黑体"/>
          <w:sz w:val="32"/>
          <w:szCs w:val="32"/>
        </w:rPr>
      </w:pP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本公司董事会及全体董事保证本公告内容不存在任何虚假记载、误导性陈述或者重大遗漏，并对其内容的真实性、准确性和完整性承担个别及连带责任。</w:t>
      </w:r>
    </w:p>
    <w:p>
      <w:pPr>
        <w:spacing w:line="640" w:lineRule="exact"/>
        <w:rPr>
          <w:rFonts w:ascii="黑体" w:hAnsi="黑体" w:eastAsia="黑体" w:cs="黑体"/>
          <w:sz w:val="32"/>
          <w:szCs w:val="32"/>
        </w:rPr>
      </w:pPr>
      <w:r>
        <w:rPr>
          <w:rFonts w:hint="eastAsia" w:ascii="黑体" w:hAnsi="黑体" w:eastAsia="黑体" w:cs="黑体"/>
          <w:sz w:val="32"/>
          <w:szCs w:val="32"/>
        </w:rPr>
        <w:br w:type="page"/>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1.统一社会信用代码：911506227013559394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2.企业名称：准格尔旗金正泰煤炭有限责任公司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3.法定代表人：晏明来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4.类型：其他有限责任公司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5.成立日期：2006年12月13日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6.注册资本：4000万人民币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7.营业期限自：2006年12月13日至 长期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8.登记机关：准格尔旗市场监督管理局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9.登记状态：在营（开业）企业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10.住所：内蒙古自治区鄂尔多斯市准格尔旗薛家湾镇牛光圪旦村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11.邮政编码：010300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12.电子信箱:jztbgs@163.com</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13.经营范围：煤炭生产、销售</w:t>
      </w:r>
    </w:p>
    <w:p>
      <w:pPr>
        <w:spacing w:line="600" w:lineRule="exact"/>
        <w:ind w:firstLine="640" w:firstLineChars="200"/>
        <w:textAlignment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14.公司简介:</w:t>
      </w:r>
      <w:r>
        <w:rPr>
          <w:rFonts w:hint="eastAsia" w:ascii="仿宋_GB2312" w:hAnsi="仿宋_GB2312" w:eastAsia="仿宋_GB2312" w:cs="仿宋_GB2312"/>
          <w:bCs/>
          <w:sz w:val="32"/>
          <w:szCs w:val="32"/>
        </w:rPr>
        <w:t>金正泰公司由山东能源枣庄矿业集团公司投资建设、控股（枣矿集团占股75%，枣矿集团改制单位联创实业公司占股25%），井田面积9.58</w:t>
      </w:r>
      <w:r>
        <w:rPr>
          <w:rFonts w:hint="eastAsia" w:ascii="仿宋_GB2312" w:hAnsi="仿宋_GB2312" w:eastAsia="仿宋_GB2312" w:cs="仿宋_GB2312"/>
          <w:sz w:val="32"/>
          <w:szCs w:val="32"/>
        </w:rPr>
        <w:t>平方公里</w:t>
      </w:r>
      <w:r>
        <w:rPr>
          <w:rFonts w:hint="eastAsia" w:ascii="仿宋_GB2312" w:hAnsi="仿宋_GB2312" w:eastAsia="仿宋_GB2312" w:cs="仿宋_GB2312"/>
          <w:bCs/>
          <w:sz w:val="32"/>
          <w:szCs w:val="32"/>
        </w:rPr>
        <w:t>，其中露天煤矿开采面积3.58</w:t>
      </w:r>
      <w:r>
        <w:rPr>
          <w:rFonts w:hint="eastAsia" w:ascii="仿宋_GB2312" w:hAnsi="仿宋_GB2312" w:eastAsia="仿宋_GB2312" w:cs="仿宋_GB2312"/>
          <w:sz w:val="32"/>
          <w:szCs w:val="32"/>
        </w:rPr>
        <w:t>平方公里</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资源储量7126万吨，剩余可采储量4167万吨。</w:t>
      </w:r>
      <w:r>
        <w:rPr>
          <w:rFonts w:hint="eastAsia" w:ascii="仿宋_GB2312" w:hAnsi="仿宋_GB2312" w:eastAsia="仿宋_GB2312" w:cs="仿宋_GB2312"/>
          <w:bCs/>
          <w:sz w:val="32"/>
          <w:szCs w:val="32"/>
        </w:rPr>
        <w:t>露天煤矿最初是在原两个村办小煤井的基础上技改而成，于2009年4月开工建设，</w:t>
      </w:r>
      <w:r>
        <w:rPr>
          <w:rFonts w:hint="eastAsia" w:ascii="仿宋_GB2312" w:hAnsi="仿宋_GB2312" w:eastAsia="仿宋_GB2312" w:cs="仿宋_GB2312"/>
          <w:sz w:val="32"/>
          <w:szCs w:val="32"/>
        </w:rPr>
        <w:t>2011年1月通过综合验收，设计生产能力120万吨/年，核定生产能力300万吨/年,现证照齐全，合法有效。公司</w:t>
      </w:r>
      <w:r>
        <w:rPr>
          <w:rFonts w:hint="eastAsia" w:ascii="仿宋_GB2312" w:hAnsi="仿宋_GB2312" w:eastAsia="仿宋_GB2312" w:cs="仿宋_GB2312"/>
          <w:bCs/>
          <w:sz w:val="32"/>
          <w:szCs w:val="32"/>
        </w:rPr>
        <w:t>露天煤矿</w:t>
      </w:r>
      <w:r>
        <w:rPr>
          <w:rFonts w:hint="eastAsia" w:ascii="仿宋_GB2312" w:hAnsi="仿宋_GB2312" w:eastAsia="仿宋_GB2312" w:cs="仿宋_GB2312"/>
          <w:sz w:val="32"/>
          <w:szCs w:val="32"/>
        </w:rPr>
        <w:t>采用单斗卡车间断式生产工艺进行土岩剥离和采煤,主采</w:t>
      </w:r>
      <w:r>
        <w:rPr>
          <w:rFonts w:hint="eastAsia" w:ascii="仿宋_GB2312" w:hAnsi="仿宋_GB2312" w:eastAsia="仿宋_GB2312" w:cs="仿宋_GB2312"/>
          <w:bCs/>
          <w:sz w:val="32"/>
          <w:szCs w:val="32"/>
        </w:rPr>
        <w:t>6号和9号煤层，煤层平均厚度分别为14.65米、4.3米，</w:t>
      </w:r>
      <w:r>
        <w:rPr>
          <w:rFonts w:hint="eastAsia" w:ascii="仿宋_GB2312" w:hAnsi="仿宋_GB2312" w:eastAsia="仿宋_GB2312" w:cs="仿宋_GB2312"/>
          <w:sz w:val="32"/>
          <w:szCs w:val="32"/>
        </w:rPr>
        <w:t>煤种为中灰、低硫、长焰煤，主供周边及呼市附近的主要电力企业，</w:t>
      </w:r>
      <w:r>
        <w:rPr>
          <w:rFonts w:hint="eastAsia" w:ascii="仿宋_GB2312" w:hAnsi="仿宋_GB2312" w:eastAsia="仿宋_GB2312" w:cs="仿宋_GB2312"/>
          <w:color w:val="000000" w:themeColor="text1"/>
          <w:sz w:val="32"/>
          <w:szCs w:val="32"/>
          <w14:textFill>
            <w14:solidFill>
              <w14:schemeClr w14:val="tx1"/>
            </w14:solidFill>
          </w14:textFill>
        </w:rPr>
        <w:t>已累计产销商品煤近1</w:t>
      </w:r>
      <w:r>
        <w:rPr>
          <w:rFonts w:ascii="仿宋_GB2312" w:hAnsi="仿宋_GB2312" w:eastAsia="仿宋_GB2312" w:cs="仿宋_GB2312"/>
          <w:color w:val="000000" w:themeColor="text1"/>
          <w:sz w:val="32"/>
          <w:szCs w:val="32"/>
          <w14:textFill>
            <w14:solidFill>
              <w14:schemeClr w14:val="tx1"/>
            </w14:solidFill>
          </w14:textFill>
        </w:rPr>
        <w:t>916</w:t>
      </w:r>
      <w:r>
        <w:rPr>
          <w:rFonts w:hint="eastAsia" w:ascii="仿宋_GB2312" w:hAnsi="仿宋_GB2312" w:eastAsia="仿宋_GB2312" w:cs="仿宋_GB2312"/>
          <w:color w:val="000000" w:themeColor="text1"/>
          <w:sz w:val="32"/>
          <w:szCs w:val="32"/>
          <w14:textFill>
            <w14:solidFill>
              <w14:schemeClr w14:val="tx1"/>
            </w14:solidFill>
          </w14:textFill>
        </w:rPr>
        <w:t>万吨。</w:t>
      </w:r>
    </w:p>
    <w:p>
      <w:pPr>
        <w:pStyle w:val="5"/>
        <w:wordWrap/>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222222"/>
          <w:sz w:val="32"/>
          <w:szCs w:val="32"/>
        </w:rPr>
        <w:t>2021年以来，金正泰公司党政以高境界定位、高标准要求、高效率执行、高绩效考核的工作理念，以定目标、定标准、定时间、定责任、定措施、定考核“六定工作法”，强化制度管人、机制管事，突出制度立矿、制度管矿、从严治矿的管理理念，聚焦安全生产、经营销售、绿色矿山、党建民生等重点工作。今年以来，公司围绕临时用地的手续办理这个“瓶颈”难题，集全矿之力，采取“超常规”措施，强力推进了手续办理和工农关系协调，目前已取得突破性进展，下半年将进入正常生产剥离阶段。在公司发展的关键时期，我们将把安全生产放在“高于一切、重于一切、先于一切、决定一切”的位置来谋划，算好安全环保的政治账、经济账、长远账、科学账，真正实现高质量可持续发展，为奋力建设智慧枣矿、本安枣矿、优质枣矿、活力枣矿、人文枣矿、富美枣矿增砖添瓦，为百年枣矿振兴、复兴和中兴贡献金正泰力量</w:t>
      </w:r>
      <w:r>
        <w:rPr>
          <w:rFonts w:hint="eastAsia" w:ascii="仿宋_GB2312" w:hAnsi="仿宋_GB2312" w:eastAsia="仿宋_GB2312" w:cs="仿宋_GB2312"/>
          <w:color w:val="000000" w:themeColor="text1"/>
          <w:sz w:val="32"/>
          <w:szCs w:val="32"/>
          <w14:textFill>
            <w14:solidFill>
              <w14:schemeClr w14:val="tx1"/>
            </w14:solidFill>
          </w14:textFill>
        </w:rPr>
        <w:t>。今年1-9月份，实现营业收入</w:t>
      </w:r>
      <w:r>
        <w:rPr>
          <w:rFonts w:ascii="仿宋_GB2312" w:hAnsi="仿宋_GB2312" w:eastAsia="仿宋_GB2312" w:cs="仿宋_GB2312"/>
          <w:color w:val="000000" w:themeColor="text1"/>
          <w:sz w:val="32"/>
          <w:szCs w:val="32"/>
          <w14:textFill>
            <w14:solidFill>
              <w14:schemeClr w14:val="tx1"/>
            </w14:solidFill>
          </w14:textFill>
        </w:rPr>
        <w:t>23038</w:t>
      </w:r>
      <w:r>
        <w:rPr>
          <w:rFonts w:hint="eastAsia" w:ascii="仿宋_GB2312" w:hAnsi="仿宋_GB2312" w:eastAsia="仿宋_GB2312" w:cs="仿宋_GB2312"/>
          <w:color w:val="000000" w:themeColor="text1"/>
          <w:sz w:val="32"/>
          <w:szCs w:val="32"/>
          <w14:textFill>
            <w14:solidFill>
              <w14:schemeClr w14:val="tx1"/>
            </w14:solidFill>
          </w14:textFill>
        </w:rPr>
        <w:t>万元、利润总额</w:t>
      </w:r>
      <w:r>
        <w:rPr>
          <w:rFonts w:ascii="仿宋_GB2312" w:hAnsi="仿宋_GB2312" w:eastAsia="仿宋_GB2312" w:cs="仿宋_GB2312"/>
          <w:color w:val="000000" w:themeColor="text1"/>
          <w:sz w:val="32"/>
          <w:szCs w:val="32"/>
          <w14:textFill>
            <w14:solidFill>
              <w14:schemeClr w14:val="tx1"/>
            </w14:solidFill>
          </w14:textFill>
        </w:rPr>
        <w:t>3338</w:t>
      </w:r>
      <w:r>
        <w:rPr>
          <w:rFonts w:hint="eastAsia" w:ascii="仿宋_GB2312" w:hAnsi="仿宋_GB2312" w:eastAsia="仿宋_GB2312" w:cs="仿宋_GB2312"/>
          <w:color w:val="000000" w:themeColor="text1"/>
          <w:sz w:val="32"/>
          <w:szCs w:val="32"/>
          <w14:textFill>
            <w14:solidFill>
              <w14:schemeClr w14:val="tx1"/>
            </w14:solidFill>
          </w14:textFill>
        </w:rPr>
        <w:t>万元、经营现金净流量</w:t>
      </w:r>
      <w:r>
        <w:rPr>
          <w:rFonts w:ascii="仿宋_GB2312" w:hAnsi="仿宋_GB2312" w:eastAsia="仿宋_GB2312" w:cs="仿宋_GB2312"/>
          <w:color w:val="000000" w:themeColor="text1"/>
          <w:sz w:val="32"/>
          <w:szCs w:val="32"/>
          <w14:textFill>
            <w14:solidFill>
              <w14:schemeClr w14:val="tx1"/>
            </w14:solidFill>
          </w14:textFill>
        </w:rPr>
        <w:t>10084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二、主要会计数据和财务指标</w:t>
      </w:r>
    </w:p>
    <w:p>
      <w:pPr>
        <w:pStyle w:val="5"/>
        <w:wordWrap/>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1.主要会计数据和财务数据。</w:t>
      </w:r>
    </w:p>
    <w:tbl>
      <w:tblPr>
        <w:tblStyle w:val="6"/>
        <w:tblW w:w="8336" w:type="dxa"/>
        <w:tblInd w:w="0" w:type="dxa"/>
        <w:tblLayout w:type="fixed"/>
        <w:tblCellMar>
          <w:top w:w="0" w:type="dxa"/>
          <w:left w:w="0" w:type="dxa"/>
          <w:bottom w:w="0" w:type="dxa"/>
          <w:right w:w="0" w:type="dxa"/>
        </w:tblCellMar>
      </w:tblPr>
      <w:tblGrid>
        <w:gridCol w:w="2223"/>
        <w:gridCol w:w="2280"/>
        <w:gridCol w:w="2281"/>
        <w:gridCol w:w="1552"/>
      </w:tblGrid>
      <w:tr>
        <w:tblPrEx>
          <w:tblCellMar>
            <w:top w:w="0" w:type="dxa"/>
            <w:left w:w="0" w:type="dxa"/>
            <w:bottom w:w="0" w:type="dxa"/>
            <w:right w:w="0" w:type="dxa"/>
          </w:tblCellMar>
        </w:tblPrEx>
        <w:trPr>
          <w:trHeight w:val="467"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主要指标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本期金额（万元）</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上期金额（万元）</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变动比例（%）</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营业收入</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ascii="宋体" w:hAnsi="宋体" w:eastAsia="宋体" w:cs="宋体"/>
                <w:color w:val="000000" w:themeColor="text1"/>
                <w:sz w:val="22"/>
                <w:szCs w:val="22"/>
                <w14:textFill>
                  <w14:solidFill>
                    <w14:schemeClr w14:val="tx1"/>
                  </w14:solidFill>
                </w14:textFill>
              </w:rPr>
              <w:t>3038</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6192</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-50.13%</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营业成本</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ascii="宋体" w:hAnsi="宋体" w:eastAsia="宋体" w:cs="宋体"/>
                <w:color w:val="000000" w:themeColor="text1"/>
                <w:sz w:val="22"/>
                <w:szCs w:val="22"/>
                <w14:textFill>
                  <w14:solidFill>
                    <w14:schemeClr w14:val="tx1"/>
                  </w14:solidFill>
                </w14:textFill>
              </w:rPr>
              <w:t>623</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0131</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-14.89%</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销售费用</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744</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r>
              <w:rPr>
                <w:rFonts w:ascii="宋体" w:hAnsi="宋体" w:eastAsia="宋体" w:cs="宋体"/>
                <w:color w:val="000000" w:themeColor="text1"/>
                <w:sz w:val="22"/>
                <w:szCs w:val="22"/>
                <w14:textFill>
                  <w14:solidFill>
                    <w14:schemeClr w14:val="tx1"/>
                  </w14:solidFill>
                </w14:textFill>
              </w:rPr>
              <w:t>206</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-75.80%</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管理费用</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420</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658</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20.83%</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财务费用</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w:t>
            </w:r>
            <w:r>
              <w:rPr>
                <w:rFonts w:ascii="宋体" w:hAnsi="宋体" w:eastAsia="宋体" w:cs="宋体"/>
                <w:color w:val="000000" w:themeColor="text1"/>
                <w:sz w:val="22"/>
                <w:szCs w:val="22"/>
                <w14:textFill>
                  <w14:solidFill>
                    <w14:schemeClr w14:val="tx1"/>
                  </w14:solidFill>
                </w14:textFill>
              </w:rPr>
              <w:t>52</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w:t>
            </w:r>
            <w:r>
              <w:rPr>
                <w:rFonts w:ascii="宋体" w:hAnsi="宋体" w:eastAsia="宋体" w:cs="宋体"/>
                <w:color w:val="000000" w:themeColor="text1"/>
                <w:sz w:val="22"/>
                <w:szCs w:val="22"/>
                <w14:textFill>
                  <w14:solidFill>
                    <w14:schemeClr w14:val="tx1"/>
                  </w14:solidFill>
                </w14:textFill>
              </w:rPr>
              <w:t>89</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-5.37%</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营业利润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645</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9216</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-75.83%</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投资收益</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0</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营业外收支</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-2950.00%</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利润总额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338</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9171</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-82.59%</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税费总额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ascii="宋体" w:hAnsi="宋体" w:eastAsia="宋体" w:cs="宋体"/>
                <w:color w:val="000000" w:themeColor="text1"/>
                <w:sz w:val="22"/>
                <w:szCs w:val="22"/>
                <w14:textFill>
                  <w14:solidFill>
                    <w14:schemeClr w14:val="tx1"/>
                  </w14:solidFill>
                </w14:textFill>
              </w:rPr>
              <w:t>973</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1971</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-50.10%</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净利润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043</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ascii="宋体" w:hAnsi="宋体" w:eastAsia="宋体" w:cs="宋体"/>
                <w:color w:val="000000" w:themeColor="text1"/>
                <w:sz w:val="22"/>
                <w:szCs w:val="22"/>
                <w14:textFill>
                  <w14:solidFill>
                    <w14:schemeClr w14:val="tx1"/>
                  </w14:solidFill>
                </w14:textFill>
              </w:rPr>
              <w:t>7329</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-82.44%</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营业利润率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ascii="宋体" w:hAnsi="宋体" w:eastAsia="宋体" w:cs="宋体"/>
                <w:color w:val="000000" w:themeColor="text1"/>
                <w:sz w:val="22"/>
                <w:szCs w:val="22"/>
                <w14:textFill>
                  <w14:solidFill>
                    <w14:schemeClr w14:val="tx1"/>
                  </w14:solidFill>
                </w14:textFill>
              </w:rPr>
              <w:t>0.18</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-51.49%</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净资产收益率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r>
              <w:rPr>
                <w:rFonts w:ascii="宋体" w:hAnsi="宋体" w:eastAsia="宋体" w:cs="宋体"/>
                <w:color w:val="000000" w:themeColor="text1"/>
                <w:sz w:val="22"/>
                <w:szCs w:val="22"/>
                <w14:textFill>
                  <w14:solidFill>
                    <w14:schemeClr w14:val="tx1"/>
                  </w14:solidFill>
                </w14:textFill>
              </w:rPr>
              <w:t>.82</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ascii="宋体" w:hAnsi="宋体" w:eastAsia="宋体" w:cs="宋体"/>
                <w:color w:val="000000" w:themeColor="text1"/>
                <w:sz w:val="22"/>
                <w:szCs w:val="22"/>
                <w14:textFill>
                  <w14:solidFill>
                    <w14:schemeClr w14:val="tx1"/>
                  </w14:solidFill>
                </w14:textFill>
              </w:rPr>
              <w:t>1.42</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-90.40%</w:t>
            </w:r>
          </w:p>
        </w:tc>
      </w:tr>
      <w:tr>
        <w:tblPrEx>
          <w:tblCellMar>
            <w:top w:w="0" w:type="dxa"/>
            <w:left w:w="0" w:type="dxa"/>
            <w:bottom w:w="0" w:type="dxa"/>
            <w:right w:w="0" w:type="dxa"/>
          </w:tblCellMar>
        </w:tblPrEx>
        <w:trPr>
          <w:trHeight w:val="428"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主要指标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期末金额（万元）</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年初金额（万元）</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变动比例（%）</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资产总额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ascii="宋体" w:hAnsi="宋体" w:eastAsia="宋体" w:cs="宋体"/>
                <w:color w:val="000000" w:themeColor="text1"/>
                <w:sz w:val="22"/>
                <w:szCs w:val="22"/>
                <w14:textFill>
                  <w14:solidFill>
                    <w14:schemeClr w14:val="tx1"/>
                  </w14:solidFill>
                </w14:textFill>
              </w:rPr>
              <w:t>0276</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r>
              <w:rPr>
                <w:rFonts w:ascii="宋体" w:hAnsi="宋体" w:eastAsia="宋体" w:cs="宋体"/>
                <w:color w:val="000000" w:themeColor="text1"/>
                <w:sz w:val="22"/>
                <w:szCs w:val="22"/>
                <w14:textFill>
                  <w14:solidFill>
                    <w14:schemeClr w14:val="tx1"/>
                  </w14:solidFill>
                </w14:textFill>
              </w:rPr>
              <w:t>1343</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12.52%</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负债总额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9224</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4630</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13.27%</w:t>
            </w:r>
          </w:p>
        </w:tc>
      </w:tr>
      <w:tr>
        <w:tblPrEx>
          <w:tblCellMar>
            <w:top w:w="0" w:type="dxa"/>
            <w:left w:w="0" w:type="dxa"/>
            <w:bottom w:w="0" w:type="dxa"/>
            <w:right w:w="0" w:type="dxa"/>
          </w:tblCellMar>
        </w:tblPrEx>
        <w:trPr>
          <w:trHeight w:val="360"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所有者权益</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ascii="宋体" w:hAnsi="宋体" w:eastAsia="宋体" w:cs="宋体"/>
                <w:color w:val="000000" w:themeColor="text1"/>
                <w:sz w:val="22"/>
                <w:szCs w:val="22"/>
                <w14:textFill>
                  <w14:solidFill>
                    <w14:schemeClr w14:val="tx1"/>
                  </w14:solidFill>
                </w14:textFill>
              </w:rPr>
              <w:t>1052</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ascii="宋体" w:hAnsi="宋体" w:eastAsia="宋体" w:cs="宋体"/>
                <w:color w:val="000000" w:themeColor="text1"/>
                <w:sz w:val="22"/>
                <w:szCs w:val="22"/>
                <w14:textFill>
                  <w14:solidFill>
                    <w14:schemeClr w14:val="tx1"/>
                  </w14:solidFill>
                </w14:textFill>
              </w:rPr>
              <w:t>4914</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17.58%</w:t>
            </w:r>
          </w:p>
        </w:tc>
      </w:tr>
    </w:tbl>
    <w:p>
      <w:pPr>
        <w:adjustRightInd w:val="0"/>
        <w:snapToGrid w:val="0"/>
        <w:spacing w:line="54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eastAsia="仿宋_GB2312" w:cs="黑体"/>
          <w:color w:val="000000" w:themeColor="text1"/>
          <w:sz w:val="32"/>
          <w:szCs w:val="32"/>
          <w14:textFill>
            <w14:solidFill>
              <w14:schemeClr w14:val="tx1"/>
            </w14:solidFill>
          </w14:textFill>
        </w:rPr>
        <w:t>金正泰公司2021年1</w:t>
      </w:r>
      <w:r>
        <w:rPr>
          <w:rFonts w:ascii="仿宋_GB2312" w:eastAsia="仿宋_GB2312" w:cs="黑体"/>
          <w:color w:val="000000" w:themeColor="text1"/>
          <w:sz w:val="32"/>
          <w:szCs w:val="32"/>
          <w14:textFill>
            <w14:solidFill>
              <w14:schemeClr w14:val="tx1"/>
            </w14:solidFill>
          </w14:textFill>
        </w:rPr>
        <w:t>-9</w:t>
      </w:r>
      <w:r>
        <w:rPr>
          <w:rFonts w:hint="eastAsia" w:ascii="仿宋_GB2312" w:eastAsia="仿宋_GB2312" w:cs="黑体"/>
          <w:color w:val="000000" w:themeColor="text1"/>
          <w:sz w:val="32"/>
          <w:szCs w:val="32"/>
          <w14:textFill>
            <w14:solidFill>
              <w14:schemeClr w14:val="tx1"/>
            </w14:solidFill>
          </w14:textFill>
        </w:rPr>
        <w:t>月无重要会计政策变更、重要会计估计变更、前期会计差错更正事项。</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三、董事会报告摘要</w:t>
      </w:r>
    </w:p>
    <w:p>
      <w:pPr>
        <w:adjustRightInd w:val="0"/>
        <w:snapToGrid w:val="0"/>
        <w:spacing w:line="540" w:lineRule="exact"/>
        <w:ind w:firstLine="643" w:firstLineChars="200"/>
        <w:rPr>
          <w:rFonts w:ascii="仿宋_GB2312" w:hAnsi="Calibri" w:eastAsia="仿宋_GB2312" w:cs="仿宋_GB2312"/>
          <w:color w:val="FF0000"/>
          <w:kern w:val="0"/>
          <w:sz w:val="32"/>
          <w:szCs w:val="32"/>
        </w:rPr>
      </w:pPr>
      <w:r>
        <w:rPr>
          <w:rFonts w:hint="eastAsia" w:ascii="楷体_GB2312" w:hAnsi="Calibri" w:eastAsia="楷体_GB2312" w:cs="楷体_GB2312"/>
          <w:b/>
          <w:color w:val="000000"/>
          <w:kern w:val="0"/>
          <w:sz w:val="32"/>
          <w:szCs w:val="32"/>
        </w:rPr>
        <w:t>（一）组织建设情况。</w:t>
      </w:r>
      <w:r>
        <w:rPr>
          <w:rFonts w:hint="eastAsia" w:ascii="仿宋_GB2312" w:hAnsi="仿宋_GB2312" w:eastAsia="仿宋_GB2312" w:cs="仿宋_GB2312"/>
          <w:b/>
          <w:color w:val="000000"/>
          <w:kern w:val="0"/>
          <w:sz w:val="32"/>
          <w:szCs w:val="32"/>
        </w:rPr>
        <w:t>一是</w:t>
      </w:r>
      <w:r>
        <w:rPr>
          <w:rFonts w:hint="eastAsia" w:ascii="仿宋_GB2312" w:hAnsi="仿宋_GB2312" w:eastAsia="仿宋_GB2312" w:cs="仿宋_GB2312"/>
          <w:b/>
          <w:kern w:val="0"/>
          <w:sz w:val="32"/>
          <w:szCs w:val="32"/>
        </w:rPr>
        <w:t>董事会人员组成。</w:t>
      </w:r>
      <w:r>
        <w:rPr>
          <w:rFonts w:hint="eastAsia" w:ascii="仿宋_GB2312" w:hAnsi="Calibri" w:eastAsia="仿宋_GB2312" w:cs="仿宋_GB2312"/>
          <w:color w:val="000000"/>
          <w:kern w:val="0"/>
          <w:sz w:val="32"/>
          <w:szCs w:val="32"/>
        </w:rPr>
        <w:t>按照《公司章程》规定，</w:t>
      </w:r>
      <w:r>
        <w:rPr>
          <w:rFonts w:hint="eastAsia" w:ascii="仿宋_GB2312" w:hAnsi="宋体" w:eastAsia="仿宋_GB2312"/>
          <w:color w:val="000000" w:themeColor="text1"/>
          <w:sz w:val="32"/>
          <w:szCs w:val="32"/>
        </w:rPr>
        <w:t>准格尔旗金正泰煤炭有限责任公司</w:t>
      </w:r>
      <w:r>
        <w:rPr>
          <w:rFonts w:hint="eastAsia" w:ascii="仿宋_GB2312" w:hAnsi="Calibri" w:eastAsia="仿宋_GB2312" w:cs="仿宋_GB2312"/>
          <w:color w:val="000000"/>
          <w:kern w:val="0"/>
          <w:sz w:val="32"/>
          <w:szCs w:val="32"/>
        </w:rPr>
        <w:t>董事会由5名董事组成，</w:t>
      </w:r>
      <w:r>
        <w:rPr>
          <w:rFonts w:hint="eastAsia" w:ascii="仿宋_GB2312" w:hAnsi="Calibri" w:eastAsia="仿宋_GB2312" w:cs="仿宋_GB2312"/>
          <w:kern w:val="0"/>
          <w:sz w:val="32"/>
          <w:szCs w:val="32"/>
        </w:rPr>
        <w:t>分别为</w:t>
      </w:r>
      <w:r>
        <w:rPr>
          <w:rFonts w:hint="eastAsia" w:ascii="仿宋_GB2312" w:hAnsi="宋体" w:eastAsia="仿宋_GB2312"/>
          <w:color w:val="000000" w:themeColor="text1"/>
          <w:sz w:val="32"/>
          <w:szCs w:val="32"/>
        </w:rPr>
        <w:t>董事长晏明来、董事霍公厚、董事汪鹰、董事马涛、董事张义科</w:t>
      </w:r>
      <w:r>
        <w:rPr>
          <w:rFonts w:hint="eastAsia" w:ascii="仿宋_GB2312" w:hAnsi="Calibri" w:eastAsia="仿宋_GB2312" w:cs="仿宋_GB2312"/>
          <w:kern w:val="0"/>
          <w:sz w:val="32"/>
          <w:szCs w:val="32"/>
        </w:rPr>
        <w:t>。</w:t>
      </w:r>
    </w:p>
    <w:p>
      <w:pPr>
        <w:spacing w:line="580" w:lineRule="exact"/>
        <w:ind w:firstLine="643" w:firstLineChars="200"/>
        <w:rPr>
          <w:rFonts w:ascii="仿宋_GB2312" w:hAnsi="宋体" w:eastAsia="仿宋_GB2312"/>
          <w:sz w:val="32"/>
          <w:szCs w:val="32"/>
        </w:rPr>
      </w:pPr>
      <w:r>
        <w:rPr>
          <w:rFonts w:hint="eastAsia" w:ascii="楷体_GB2312" w:hAnsi="Calibri" w:eastAsia="楷体_GB2312" w:cs="楷体_GB2312"/>
          <w:b/>
          <w:color w:val="000000"/>
          <w:kern w:val="0"/>
          <w:sz w:val="32"/>
          <w:szCs w:val="32"/>
        </w:rPr>
        <w:t>（二）制度建设情况。</w:t>
      </w:r>
      <w:r>
        <w:rPr>
          <w:rFonts w:hint="eastAsia" w:ascii="仿宋_GB2312" w:hAnsi="Calibri" w:eastAsia="仿宋_GB2312" w:cs="仿宋_GB2312"/>
          <w:kern w:val="0"/>
          <w:sz w:val="32"/>
          <w:szCs w:val="32"/>
        </w:rPr>
        <w:t>金正泰公司董事会各项制度健全完善，并严格按照《公司章程》《董事会议事规则》《董事会秘书工作规则》等相关文件要求召开董事会。为规范董事会运作，制订出台《中共准格尔旗金正泰煤炭有限责任公司委员会关于进一步规范“三重一大”事项决策流程的通知》（</w:t>
      </w:r>
      <w:r>
        <w:rPr>
          <w:rFonts w:hint="eastAsia" w:ascii="仿宋_GB2312" w:hAnsi="仿宋_GB2312" w:eastAsia="仿宋_GB2312" w:cs="仿宋_GB2312"/>
          <w:sz w:val="32"/>
          <w:szCs w:val="32"/>
        </w:rPr>
        <w:t>金正泰党发〔2021〕3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号</w:t>
      </w:r>
      <w:r>
        <w:rPr>
          <w:rFonts w:hint="eastAsia" w:ascii="仿宋_GB2312" w:hAnsi="Calibri" w:eastAsia="仿宋_GB2312" w:cs="仿宋_GB2312"/>
          <w:kern w:val="0"/>
          <w:sz w:val="32"/>
          <w:szCs w:val="32"/>
        </w:rPr>
        <w:t>），</w:t>
      </w:r>
      <w:r>
        <w:rPr>
          <w:rFonts w:hint="eastAsia" w:ascii="仿宋_GB2312" w:hAnsi="仿宋_GB2312" w:eastAsia="仿宋_GB2312" w:cs="仿宋_GB2312"/>
          <w:sz w:val="32"/>
          <w:szCs w:val="32"/>
        </w:rPr>
        <w:t>明确了“三重一大”事项决策范围，理顺了决策流程，提高了决策水平，防范了决策风险，有效</w:t>
      </w:r>
      <w:r>
        <w:rPr>
          <w:rFonts w:hint="eastAsia" w:ascii="仿宋_GB2312" w:hAnsi="Calibri" w:eastAsia="仿宋_GB2312" w:cs="仿宋_GB2312"/>
          <w:kern w:val="0"/>
          <w:sz w:val="32"/>
          <w:szCs w:val="32"/>
        </w:rPr>
        <w:t>保障了股东权益。</w:t>
      </w:r>
    </w:p>
    <w:p>
      <w:pPr>
        <w:adjustRightInd w:val="0"/>
        <w:snapToGrid w:val="0"/>
        <w:spacing w:line="540" w:lineRule="exact"/>
        <w:ind w:firstLine="643" w:firstLineChars="200"/>
        <w:rPr>
          <w:rFonts w:ascii="仿宋_GB2312" w:eastAsia="仿宋_GB2312" w:cs="仿宋_GB2312"/>
          <w:kern w:val="0"/>
          <w:sz w:val="32"/>
          <w:szCs w:val="32"/>
        </w:rPr>
      </w:pPr>
      <w:r>
        <w:rPr>
          <w:rFonts w:hint="eastAsia" w:ascii="楷体_GB2312" w:hAnsi="Calibri" w:eastAsia="楷体_GB2312" w:cs="楷体_GB2312"/>
          <w:b/>
          <w:color w:val="000000"/>
          <w:kern w:val="0"/>
          <w:sz w:val="32"/>
          <w:szCs w:val="32"/>
        </w:rPr>
        <w:t>（三）董事会运作情况。</w:t>
      </w:r>
      <w:r>
        <w:rPr>
          <w:rFonts w:hint="eastAsia" w:ascii="仿宋_GB2312" w:hAnsi="Calibri" w:eastAsia="仿宋_GB2312" w:cs="仿宋_GB2312"/>
          <w:kern w:val="0"/>
          <w:sz w:val="32"/>
          <w:szCs w:val="32"/>
        </w:rPr>
        <w:t>2021年金正泰公司董事会严格按照《公司法》《公司章程》以及能源集团要求，规范运作、科学决策，持续提升企业管控能力</w:t>
      </w:r>
      <w:r>
        <w:rPr>
          <w:rFonts w:hint="eastAsia" w:ascii="仿宋_GB2312" w:hAnsi="仿宋_GB2312" w:eastAsia="仿宋_GB2312" w:cs="仿宋_GB2312"/>
          <w:kern w:val="0"/>
          <w:sz w:val="32"/>
          <w:szCs w:val="32"/>
        </w:rPr>
        <w:t>。</w:t>
      </w:r>
      <w:r>
        <w:rPr>
          <w:rFonts w:hint="eastAsia" w:ascii="仿宋_GB2312" w:hAnsi="仿宋_GB2312" w:eastAsia="仿宋_GB2312" w:cs="仿宋_GB2312"/>
          <w:b/>
          <w:color w:val="000000"/>
          <w:kern w:val="0"/>
          <w:sz w:val="32"/>
          <w:szCs w:val="32"/>
        </w:rPr>
        <w:t>一是董事会会议召开情况。</w:t>
      </w:r>
      <w:r>
        <w:rPr>
          <w:rFonts w:hint="eastAsia" w:ascii="仿宋_GB2312" w:hAnsi="Calibri" w:eastAsia="仿宋_GB2312" w:cs="仿宋_GB2312"/>
          <w:color w:val="000000" w:themeColor="text1"/>
          <w:kern w:val="0"/>
          <w:sz w:val="32"/>
          <w:szCs w:val="32"/>
          <w14:textFill>
            <w14:solidFill>
              <w14:schemeClr w14:val="tx1"/>
            </w14:solidFill>
          </w14:textFill>
        </w:rPr>
        <w:t>2021年1</w:t>
      </w:r>
      <w:r>
        <w:rPr>
          <w:rFonts w:ascii="仿宋_GB2312" w:hAnsi="Calibri" w:eastAsia="仿宋_GB2312" w:cs="仿宋_GB2312"/>
          <w:color w:val="000000" w:themeColor="text1"/>
          <w:kern w:val="0"/>
          <w:sz w:val="32"/>
          <w:szCs w:val="32"/>
          <w14:textFill>
            <w14:solidFill>
              <w14:schemeClr w14:val="tx1"/>
            </w14:solidFill>
          </w14:textFill>
        </w:rPr>
        <w:t>-9</w:t>
      </w:r>
      <w:r>
        <w:rPr>
          <w:rFonts w:hint="eastAsia" w:ascii="仿宋_GB2312" w:hAnsi="Calibri" w:eastAsia="仿宋_GB2312" w:cs="仿宋_GB2312"/>
          <w:color w:val="000000" w:themeColor="text1"/>
          <w:kern w:val="0"/>
          <w:sz w:val="32"/>
          <w:szCs w:val="32"/>
          <w14:textFill>
            <w14:solidFill>
              <w14:schemeClr w14:val="tx1"/>
            </w14:solidFill>
          </w14:textFill>
        </w:rPr>
        <w:t>月金正泰公司累计召开董事会会议</w:t>
      </w:r>
      <w:r>
        <w:rPr>
          <w:rFonts w:ascii="仿宋_GB2312" w:hAnsi="Calibri" w:eastAsia="仿宋_GB2312" w:cs="仿宋_GB2312"/>
          <w:color w:val="000000" w:themeColor="text1"/>
          <w:kern w:val="0"/>
          <w:sz w:val="32"/>
          <w:szCs w:val="32"/>
          <w14:textFill>
            <w14:solidFill>
              <w14:schemeClr w14:val="tx1"/>
            </w14:solidFill>
          </w14:textFill>
        </w:rPr>
        <w:t>6</w:t>
      </w:r>
      <w:r>
        <w:rPr>
          <w:rFonts w:hint="eastAsia" w:ascii="仿宋_GB2312" w:hAnsi="Calibri" w:eastAsia="仿宋_GB2312" w:cs="仿宋_GB2312"/>
          <w:color w:val="000000" w:themeColor="text1"/>
          <w:kern w:val="0"/>
          <w:sz w:val="32"/>
          <w:szCs w:val="32"/>
          <w14:textFill>
            <w14:solidFill>
              <w14:schemeClr w14:val="tx1"/>
            </w14:solidFill>
          </w14:textFill>
        </w:rPr>
        <w:t>次，审议议案</w:t>
      </w:r>
      <w:r>
        <w:rPr>
          <w:rFonts w:ascii="仿宋_GB2312" w:hAnsi="Calibri" w:eastAsia="仿宋_GB2312" w:cs="仿宋_GB2312"/>
          <w:color w:val="000000" w:themeColor="text1"/>
          <w:kern w:val="0"/>
          <w:sz w:val="32"/>
          <w:szCs w:val="32"/>
          <w14:textFill>
            <w14:solidFill>
              <w14:schemeClr w14:val="tx1"/>
            </w14:solidFill>
          </w14:textFill>
        </w:rPr>
        <w:t>6</w:t>
      </w:r>
      <w:r>
        <w:rPr>
          <w:rFonts w:hint="eastAsia" w:ascii="仿宋_GB2312" w:hAnsi="Calibri" w:eastAsia="仿宋_GB2312" w:cs="仿宋_GB2312"/>
          <w:color w:val="000000" w:themeColor="text1"/>
          <w:kern w:val="0"/>
          <w:sz w:val="32"/>
          <w:szCs w:val="32"/>
          <w14:textFill>
            <w14:solidFill>
              <w14:schemeClr w14:val="tx1"/>
            </w14:solidFill>
          </w14:textFill>
        </w:rPr>
        <w:t>项，形成决议</w:t>
      </w:r>
      <w:r>
        <w:rPr>
          <w:rFonts w:ascii="仿宋_GB2312" w:hAnsi="Calibri" w:eastAsia="仿宋_GB2312" w:cs="仿宋_GB2312"/>
          <w:color w:val="000000" w:themeColor="text1"/>
          <w:kern w:val="0"/>
          <w:sz w:val="32"/>
          <w:szCs w:val="32"/>
          <w14:textFill>
            <w14:solidFill>
              <w14:schemeClr w14:val="tx1"/>
            </w14:solidFill>
          </w14:textFill>
        </w:rPr>
        <w:t>6</w:t>
      </w:r>
      <w:r>
        <w:rPr>
          <w:rFonts w:hint="eastAsia" w:ascii="仿宋_GB2312" w:hAnsi="Calibri" w:eastAsia="仿宋_GB2312" w:cs="仿宋_GB2312"/>
          <w:color w:val="000000" w:themeColor="text1"/>
          <w:kern w:val="0"/>
          <w:sz w:val="32"/>
          <w:szCs w:val="32"/>
          <w14:textFill>
            <w14:solidFill>
              <w14:schemeClr w14:val="tx1"/>
            </w14:solidFill>
          </w14:textFill>
        </w:rPr>
        <w:t>项，各项议题、决议均按制度、按程序、按要求进行落实，形</w:t>
      </w:r>
      <w:r>
        <w:rPr>
          <w:rFonts w:hint="eastAsia" w:ascii="仿宋_GB2312" w:hAnsi="仿宋_GB2312" w:eastAsia="仿宋_GB2312" w:cs="仿宋_GB2312"/>
          <w:color w:val="000000" w:themeColor="text1"/>
          <w:kern w:val="0"/>
          <w:sz w:val="32"/>
          <w:szCs w:val="32"/>
          <w14:textFill>
            <w14:solidFill>
              <w14:schemeClr w14:val="tx1"/>
            </w14:solidFill>
          </w14:textFill>
        </w:rPr>
        <w:t>成了各负其责、协调运转、科学高效的现代企业法人治理结构体系。</w:t>
      </w:r>
      <w:r>
        <w:rPr>
          <w:rFonts w:hint="eastAsia" w:ascii="仿宋_GB2312" w:hAnsi="仿宋_GB2312" w:eastAsia="仿宋_GB2312" w:cs="仿宋_GB2312"/>
          <w:b/>
          <w:color w:val="000000" w:themeColor="text1"/>
          <w:kern w:val="0"/>
          <w:sz w:val="32"/>
          <w:szCs w:val="32"/>
          <w14:textFill>
            <w14:solidFill>
              <w14:schemeClr w14:val="tx1"/>
            </w14:solidFill>
          </w14:textFill>
        </w:rPr>
        <w:t>二</w:t>
      </w:r>
      <w:r>
        <w:rPr>
          <w:rFonts w:hint="eastAsia" w:ascii="仿宋_GB2312" w:hAnsi="仿宋_GB2312" w:eastAsia="仿宋_GB2312" w:cs="仿宋_GB2312"/>
          <w:b/>
          <w:color w:val="000000"/>
          <w:kern w:val="0"/>
          <w:sz w:val="32"/>
          <w:szCs w:val="32"/>
        </w:rPr>
        <w:t>是董事会会议程序科学规范。</w:t>
      </w:r>
      <w:r>
        <w:rPr>
          <w:rFonts w:hint="eastAsia" w:ascii="仿宋_GB2312" w:hAnsi="仿宋_GB2312" w:eastAsia="仿宋_GB2312" w:cs="仿宋_GB2312"/>
          <w:kern w:val="0"/>
          <w:sz w:val="32"/>
          <w:szCs w:val="32"/>
        </w:rPr>
        <w:t>会前通知有关参会人员，明确会议议程，并与董事充分沟通，提前发放会议议案等相关材料；会上董事独立发表意见建议，并按照“少数服从多数”原则，通过口头表决等方式，对审议事宜逐项表决；会后由相关人员整理会议记录，形成会议决议，签字后存档备查。三</w:t>
      </w:r>
      <w:r>
        <w:rPr>
          <w:rFonts w:hint="eastAsia" w:ascii="仿宋_GB2312" w:hAnsi="仿宋_GB2312" w:eastAsia="仿宋_GB2312" w:cs="仿宋_GB2312"/>
          <w:b/>
          <w:color w:val="000000"/>
          <w:kern w:val="0"/>
          <w:sz w:val="32"/>
          <w:szCs w:val="32"/>
        </w:rPr>
        <w:t>是董事会决议落实到位。</w:t>
      </w:r>
      <w:r>
        <w:rPr>
          <w:rFonts w:hint="eastAsia" w:ascii="仿宋_GB2312" w:hAnsi="仿宋_GB2312" w:eastAsia="仿宋_GB2312" w:cs="仿宋_GB2312"/>
          <w:kern w:val="0"/>
          <w:sz w:val="32"/>
          <w:szCs w:val="32"/>
        </w:rPr>
        <w:t>根据董事会决策情况，形成重点工作落实清单和完成时限，确保董事会各项决策部署落地实施。</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四、审计报告摘要</w:t>
      </w:r>
    </w:p>
    <w:p>
      <w:pPr>
        <w:adjustRightInd w:val="0"/>
        <w:snapToGrid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021</w:t>
      </w:r>
      <w:r>
        <w:rPr>
          <w:rFonts w:hint="eastAsia" w:ascii="仿宋_GB2312" w:hAnsi="仿宋_GB2312" w:eastAsia="仿宋_GB2312" w:cs="仿宋_GB2312"/>
          <w:color w:val="000000" w:themeColor="text1"/>
          <w:kern w:val="0"/>
          <w:sz w:val="32"/>
          <w:szCs w:val="32"/>
          <w14:textFill>
            <w14:solidFill>
              <w14:schemeClr w14:val="tx1"/>
            </w14:solidFill>
          </w14:textFill>
        </w:rPr>
        <w:t>年尚未财务决算审计</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五、董事会、监事会成员</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报告期内在企业领取薪酬的全体董事、监事及其他高级管理人员实际获得的税后报酬。</w:t>
      </w:r>
    </w:p>
    <w:tbl>
      <w:tblPr>
        <w:tblStyle w:val="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418"/>
        <w:gridCol w:w="1664"/>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姓名</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职务</w:t>
            </w:r>
          </w:p>
        </w:tc>
        <w:tc>
          <w:tcPr>
            <w:tcW w:w="1664"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2020年薪酬（税后，万元）</w:t>
            </w:r>
          </w:p>
        </w:tc>
        <w:tc>
          <w:tcPr>
            <w:tcW w:w="2034"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kern w:val="0"/>
                <w:sz w:val="22"/>
                <w:szCs w:val="22"/>
              </w:rPr>
              <w:t>晏明来</w:t>
            </w:r>
          </w:p>
        </w:tc>
        <w:tc>
          <w:tcPr>
            <w:tcW w:w="3418" w:type="dxa"/>
            <w:vAlign w:val="center"/>
          </w:tcPr>
          <w:p>
            <w:pPr>
              <w:spacing w:line="36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党委书记、董事长</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2019年11月任职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kern w:val="0"/>
                <w:sz w:val="22"/>
                <w:szCs w:val="22"/>
              </w:rPr>
              <w:t>马涛</w:t>
            </w:r>
          </w:p>
        </w:tc>
        <w:tc>
          <w:tcPr>
            <w:tcW w:w="3418" w:type="dxa"/>
            <w:vAlign w:val="center"/>
          </w:tcPr>
          <w:p>
            <w:pPr>
              <w:spacing w:line="36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党委委员、总经理、董事</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spacing w:line="36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2019年12月任职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kern w:val="0"/>
                <w:sz w:val="22"/>
                <w:szCs w:val="22"/>
              </w:rPr>
              <w:t>张义科</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党委副书记、纪委书记、董事</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2019年11月任职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王次银</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党委委员、工会主席</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2019年12月任职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孙丙山</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副总经理</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2019年12月任职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姬生华</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总工程师</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2021年1月任职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曹红梅</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财务总监</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2020年3月任职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张琨</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副总经理</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2021年4月任职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9" w:type="dxa"/>
            <w:vAlign w:val="center"/>
          </w:tcPr>
          <w:p>
            <w:pPr>
              <w:widowControl/>
              <w:jc w:val="center"/>
              <w:textAlignment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杨佩军</w:t>
            </w:r>
          </w:p>
        </w:tc>
        <w:tc>
          <w:tcPr>
            <w:tcW w:w="3418"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原总工程师</w:t>
            </w:r>
          </w:p>
        </w:tc>
        <w:tc>
          <w:tcPr>
            <w:tcW w:w="1664" w:type="dxa"/>
            <w:vAlign w:val="center"/>
          </w:tcPr>
          <w:p>
            <w:pPr>
              <w:widowControl/>
              <w:jc w:val="center"/>
              <w:textAlignment w:val="center"/>
              <w:rPr>
                <w:rFonts w:asciiTheme="majorEastAsia" w:hAnsiTheme="majorEastAsia" w:eastAsiaTheme="majorEastAsia" w:cstheme="majorEastAsia"/>
                <w:sz w:val="22"/>
                <w:szCs w:val="22"/>
              </w:rPr>
            </w:pPr>
          </w:p>
        </w:tc>
        <w:tc>
          <w:tcPr>
            <w:tcW w:w="2034" w:type="dxa"/>
            <w:vAlign w:val="center"/>
          </w:tcPr>
          <w:p>
            <w:pPr>
              <w:widowControl/>
              <w:jc w:val="left"/>
              <w:textAlignment w:val="center"/>
              <w:rPr>
                <w:rFonts w:asciiTheme="majorEastAsia" w:hAnsiTheme="majorEastAsia" w:eastAsiaTheme="majorEastAsia" w:cstheme="majorEastAsia"/>
                <w:sz w:val="22"/>
                <w:szCs w:val="22"/>
              </w:rPr>
            </w:pPr>
          </w:p>
        </w:tc>
      </w:tr>
    </w:tbl>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六、年度内发生的重大事项及对企业的影响</w:t>
      </w:r>
    </w:p>
    <w:p>
      <w:pPr>
        <w:spacing w:line="460" w:lineRule="exact"/>
        <w:ind w:firstLine="640" w:firstLineChars="200"/>
        <w:rPr>
          <w:rFonts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1、根据《准格尔旗煤炭资源领域集中整治核查整改工作领导小组资源配置和矿业权审核报批整治组“关于下发煤炭资源领域违规违法集中整治核查发现问题深化治理责任清单的通知”》（准煤资整治核查整改领导小组配置报批函〔2021〕6号），金正泰公司永久性建筑物和临时建筑物占用土地，需拆除并恢复治理。按照拆除方案，共报废资产28项，资产原值共计15033619.74元；</w:t>
      </w:r>
      <w:r>
        <w:rPr>
          <w:rFonts w:ascii="仿宋_GB2312" w:hAnsi="仿宋_GB2312" w:eastAsia="仿宋_GB2312" w:cs="仿宋_GB2312"/>
          <w:color w:val="000000" w:themeColor="text1"/>
          <w:sz w:val="32"/>
          <w:szCs w:val="36"/>
          <w14:textFill>
            <w14:solidFill>
              <w14:schemeClr w14:val="tx1"/>
            </w14:solidFill>
          </w14:textFill>
        </w:rPr>
        <w:t xml:space="preserve"> </w:t>
      </w:r>
    </w:p>
    <w:p>
      <w:pPr>
        <w:spacing w:line="460" w:lineRule="exact"/>
        <w:ind w:firstLine="640" w:firstLineChars="200"/>
        <w:rPr>
          <w:rFonts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采场二采区开拓需要报废资产20项，资产原值共计8924847.94元；</w:t>
      </w:r>
      <w:r>
        <w:rPr>
          <w:rFonts w:ascii="仿宋_GB2312" w:hAnsi="仿宋_GB2312" w:eastAsia="仿宋_GB2312" w:cs="仿宋_GB2312"/>
          <w:color w:val="000000" w:themeColor="text1"/>
          <w:sz w:val="32"/>
          <w:szCs w:val="36"/>
          <w14:textFill>
            <w14:solidFill>
              <w14:schemeClr w14:val="tx1"/>
            </w14:solidFill>
          </w14:textFill>
        </w:rPr>
        <w:t xml:space="preserve"> </w:t>
      </w:r>
    </w:p>
    <w:p>
      <w:pPr>
        <w:spacing w:line="460" w:lineRule="exact"/>
        <w:ind w:firstLine="640" w:firstLineChars="200"/>
        <w:rPr>
          <w:rFonts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共报废资产48项，资产原值共计23958467.68元。</w:t>
      </w:r>
    </w:p>
    <w:p>
      <w:pPr>
        <w:spacing w:line="560" w:lineRule="exact"/>
        <w:ind w:firstLine="420" w:firstLineChars="20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093"/>
    <w:rsid w:val="0001616E"/>
    <w:rsid w:val="000C6B0A"/>
    <w:rsid w:val="00131ACB"/>
    <w:rsid w:val="00172A27"/>
    <w:rsid w:val="001D23CC"/>
    <w:rsid w:val="00211B2E"/>
    <w:rsid w:val="0021637C"/>
    <w:rsid w:val="002359CB"/>
    <w:rsid w:val="00295A5C"/>
    <w:rsid w:val="002B4FC0"/>
    <w:rsid w:val="002D2157"/>
    <w:rsid w:val="002D676B"/>
    <w:rsid w:val="00336DD5"/>
    <w:rsid w:val="003B1940"/>
    <w:rsid w:val="004728B8"/>
    <w:rsid w:val="004A2150"/>
    <w:rsid w:val="004A5042"/>
    <w:rsid w:val="004D2F8B"/>
    <w:rsid w:val="005C1B4F"/>
    <w:rsid w:val="00657D73"/>
    <w:rsid w:val="00657E6D"/>
    <w:rsid w:val="006B4307"/>
    <w:rsid w:val="006C13B2"/>
    <w:rsid w:val="006C79DF"/>
    <w:rsid w:val="006F1A9C"/>
    <w:rsid w:val="00773A70"/>
    <w:rsid w:val="007D5D49"/>
    <w:rsid w:val="007D7A16"/>
    <w:rsid w:val="008B5C48"/>
    <w:rsid w:val="009921F3"/>
    <w:rsid w:val="00A25AD8"/>
    <w:rsid w:val="00A57914"/>
    <w:rsid w:val="00A71228"/>
    <w:rsid w:val="00AB59B1"/>
    <w:rsid w:val="00AE2018"/>
    <w:rsid w:val="00B42EE3"/>
    <w:rsid w:val="00B75453"/>
    <w:rsid w:val="00B951D4"/>
    <w:rsid w:val="00C33094"/>
    <w:rsid w:val="00C9005D"/>
    <w:rsid w:val="00CC494E"/>
    <w:rsid w:val="00DA4D33"/>
    <w:rsid w:val="00DB0372"/>
    <w:rsid w:val="00DB7D33"/>
    <w:rsid w:val="00E11B48"/>
    <w:rsid w:val="00E81274"/>
    <w:rsid w:val="00E86E5F"/>
    <w:rsid w:val="00EE1F98"/>
    <w:rsid w:val="00F06F8D"/>
    <w:rsid w:val="00FC4864"/>
    <w:rsid w:val="042E1D40"/>
    <w:rsid w:val="087856BA"/>
    <w:rsid w:val="14B61F01"/>
    <w:rsid w:val="150778EB"/>
    <w:rsid w:val="15B87F26"/>
    <w:rsid w:val="1E98249D"/>
    <w:rsid w:val="1F3934E4"/>
    <w:rsid w:val="217B7E20"/>
    <w:rsid w:val="270C652E"/>
    <w:rsid w:val="2C7828F0"/>
    <w:rsid w:val="30DC1D4D"/>
    <w:rsid w:val="312A655A"/>
    <w:rsid w:val="354B1D55"/>
    <w:rsid w:val="3D8C7238"/>
    <w:rsid w:val="3F16419A"/>
    <w:rsid w:val="44135090"/>
    <w:rsid w:val="48845F2D"/>
    <w:rsid w:val="48B71A0C"/>
    <w:rsid w:val="502F0805"/>
    <w:rsid w:val="503F0014"/>
    <w:rsid w:val="53402307"/>
    <w:rsid w:val="54064B60"/>
    <w:rsid w:val="55992648"/>
    <w:rsid w:val="572B00BC"/>
    <w:rsid w:val="59994F7B"/>
    <w:rsid w:val="5A047F39"/>
    <w:rsid w:val="64EE3E34"/>
    <w:rsid w:val="65F558E6"/>
    <w:rsid w:val="6AA40312"/>
    <w:rsid w:val="6BA543F7"/>
    <w:rsid w:val="6C446E9E"/>
    <w:rsid w:val="704E20F8"/>
    <w:rsid w:val="723C075E"/>
    <w:rsid w:val="72625370"/>
    <w:rsid w:val="763E4625"/>
    <w:rsid w:val="7D27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qFormat/>
    <w:uiPriority w:val="0"/>
    <w:pPr>
      <w:jc w:val="center"/>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ordWrap w:val="0"/>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222222"/>
      <w:u w:val="none"/>
    </w:rPr>
  </w:style>
  <w:style w:type="character" w:styleId="10">
    <w:name w:val="Hyperlink"/>
    <w:basedOn w:val="8"/>
    <w:qFormat/>
    <w:uiPriority w:val="0"/>
    <w:rPr>
      <w:color w:val="222222"/>
      <w:u w:val="none"/>
    </w:rPr>
  </w:style>
  <w:style w:type="character" w:customStyle="1" w:styleId="11">
    <w:name w:val="time4"/>
    <w:basedOn w:val="8"/>
    <w:qFormat/>
    <w:uiPriority w:val="0"/>
    <w:rPr>
      <w:color w:val="888888"/>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429</Words>
  <Characters>2446</Characters>
  <Lines>20</Lines>
  <Paragraphs>5</Paragraphs>
  <TotalTime>79</TotalTime>
  <ScaleCrop>false</ScaleCrop>
  <LinksUpToDate>false</LinksUpToDate>
  <CharactersWithSpaces>2870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2021-06-17T13:33:00Z</dcterms:created>
  <dc:creator>Lenovo</dc:creator>
  <cp:lastModifiedBy>178----7910</cp:lastModifiedBy>
  <cp:lastPrinted>2021-06-18T08:03:00Z</cp:lastPrinted>
  <dcterms:modified xsi:type="dcterms:W3CDTF">2021-12-26T01:26:42Z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8180CAE69F324C039D03B61B95F677F3</vt:lpwstr>
  </property>
</Properties>
</file>