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imes New Roman" w:hAnsi="Times New Roman" w:eastAsia="方正小标宋简体"/>
          <w:sz w:val="36"/>
          <w:szCs w:val="36"/>
        </w:rPr>
      </w:pPr>
    </w:p>
    <w:p>
      <w:pPr>
        <w:spacing w:line="560" w:lineRule="exact"/>
        <w:jc w:val="center"/>
        <w:rPr>
          <w:rFonts w:hint="eastAsia" w:ascii="Times New Roman" w:hAnsi="Times New Roman" w:eastAsia="方正小标宋简体"/>
          <w:sz w:val="36"/>
          <w:szCs w:val="36"/>
        </w:rPr>
      </w:pPr>
    </w:p>
    <w:p>
      <w:pPr>
        <w:spacing w:line="560" w:lineRule="exact"/>
        <w:jc w:val="center"/>
        <w:rPr>
          <w:rFonts w:hint="eastAsia" w:ascii="Times New Roman" w:hAnsi="Times New Roman" w:eastAsia="方正小标宋简体"/>
          <w:sz w:val="36"/>
          <w:szCs w:val="36"/>
        </w:rPr>
      </w:pPr>
      <w:r>
        <w:rPr>
          <w:rFonts w:hint="eastAsia" w:ascii="Times New Roman" w:hAnsi="Times New Roman" w:eastAsia="方正小标宋简体"/>
          <w:sz w:val="36"/>
          <w:szCs w:val="36"/>
        </w:rPr>
        <w:t>枣庄矿业集团蒋庄煤矸石热电有限责任公司</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FF0000"/>
          <w:sz w:val="36"/>
          <w:szCs w:val="36"/>
          <w:lang w:val="en-US" w:eastAsia="zh-CN"/>
        </w:rPr>
      </w:pPr>
      <w:r>
        <w:rPr>
          <w:rFonts w:hint="eastAsia" w:ascii="方正小标宋简体" w:hAnsi="方正小标宋简体" w:eastAsia="方正小标宋简体" w:cs="方正小标宋简体"/>
          <w:sz w:val="36"/>
          <w:szCs w:val="36"/>
          <w:lang w:val="en-US" w:eastAsia="zh-CN"/>
        </w:rPr>
        <w:t>2021年三季度财务等重大信息公告</w:t>
      </w:r>
    </w:p>
    <w:p>
      <w:pPr>
        <w:keepNext w:val="0"/>
        <w:keepLines w:val="0"/>
        <w:pageBreakBefore w:val="0"/>
        <w:widowControl w:val="0"/>
        <w:kinsoku/>
        <w:wordWrap/>
        <w:overflowPunct/>
        <w:topLinePunct w:val="0"/>
        <w:autoSpaceDE/>
        <w:autoSpaceDN/>
        <w:bidi w:val="0"/>
        <w:adjustRightInd/>
        <w:snapToGrid/>
        <w:spacing w:line="640" w:lineRule="exact"/>
        <w:ind w:left="0"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重要提示</w:t>
      </w: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本公司执行董事保证本公告内容不存在任何虚假记载、误导性陈述或者重大遗漏，并对其内容的真实性、准确性和完整性承担个别及连带责任。</w:t>
      </w: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val="0"/>
          <w:bCs w:val="0"/>
          <w:sz w:val="32"/>
          <w:szCs w:val="32"/>
          <w:lang w:val="en-US" w:eastAsia="zh-CN"/>
        </w:rPr>
        <w:t>一、公司基本情况</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1.统一社会信用代码：91370400748992046L</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2.企业名称：</w:t>
      </w:r>
      <w:r>
        <w:rPr>
          <w:rFonts w:hint="eastAsia" w:ascii="仿宋" w:hAnsi="仿宋" w:eastAsia="仿宋" w:cs="仿宋"/>
          <w:sz w:val="32"/>
          <w:szCs w:val="32"/>
        </w:rPr>
        <w:t>枣庄矿业集团蒋庄煤矸石热电有限责任公司</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3.注册号：370400018013353</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4.法定代表人：</w:t>
      </w:r>
      <w:r>
        <w:rPr>
          <w:rFonts w:hint="eastAsia" w:ascii="仿宋" w:hAnsi="仿宋" w:eastAsia="仿宋" w:cs="仿宋"/>
          <w:spacing w:val="-16"/>
          <w:kern w:val="0"/>
          <w:sz w:val="32"/>
          <w:szCs w:val="32"/>
        </w:rPr>
        <w:t>张恒清</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5.类型：</w:t>
      </w:r>
      <w:r>
        <w:rPr>
          <w:rFonts w:hint="eastAsia" w:ascii="仿宋" w:hAnsi="仿宋" w:eastAsia="仿宋" w:cs="仿宋"/>
          <w:sz w:val="32"/>
          <w:szCs w:val="32"/>
          <w:lang w:eastAsia="zh-CN"/>
        </w:rPr>
        <w:t>有限责任公司</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6.成立日期：</w:t>
      </w:r>
      <w:r>
        <w:rPr>
          <w:rFonts w:hint="eastAsia" w:ascii="仿宋" w:hAnsi="仿宋" w:eastAsia="仿宋" w:cs="仿宋"/>
          <w:sz w:val="32"/>
          <w:szCs w:val="32"/>
        </w:rPr>
        <w:t>2003年9月27日</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7.注册资本：</w:t>
      </w:r>
      <w:r>
        <w:rPr>
          <w:rFonts w:hint="eastAsia" w:ascii="仿宋" w:hAnsi="仿宋" w:eastAsia="仿宋" w:cs="仿宋"/>
          <w:spacing w:val="-16"/>
          <w:kern w:val="0"/>
          <w:sz w:val="32"/>
          <w:szCs w:val="32"/>
        </w:rPr>
        <w:t>壹万</w:t>
      </w:r>
      <w:r>
        <w:rPr>
          <w:rFonts w:hint="eastAsia" w:ascii="仿宋" w:hAnsi="仿宋" w:eastAsia="仿宋" w:cs="仿宋"/>
          <w:sz w:val="32"/>
          <w:szCs w:val="32"/>
        </w:rPr>
        <w:t>贰仟叁佰壹拾捌万元（12318万元）</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8.核准日期：</w:t>
      </w:r>
      <w:r>
        <w:rPr>
          <w:rFonts w:hint="eastAsia" w:ascii="仿宋" w:hAnsi="仿宋" w:eastAsia="仿宋" w:cs="仿宋"/>
          <w:sz w:val="32"/>
          <w:szCs w:val="32"/>
        </w:rPr>
        <w:t>2003年9月</w:t>
      </w:r>
      <w:r>
        <w:rPr>
          <w:rFonts w:hint="eastAsia" w:ascii="仿宋" w:hAnsi="仿宋" w:eastAsia="仿宋" w:cs="仿宋"/>
          <w:sz w:val="32"/>
          <w:szCs w:val="32"/>
          <w:lang w:val="en-US" w:eastAsia="zh-CN"/>
        </w:rPr>
        <w:t>03</w:t>
      </w:r>
      <w:r>
        <w:rPr>
          <w:rFonts w:hint="eastAsia" w:ascii="仿宋" w:hAnsi="仿宋" w:eastAsia="仿宋" w:cs="仿宋"/>
          <w:sz w:val="32"/>
          <w:szCs w:val="32"/>
        </w:rPr>
        <w:t>日</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9.营业期限自：</w:t>
      </w:r>
      <w:r>
        <w:rPr>
          <w:rFonts w:hint="eastAsia" w:ascii="仿宋" w:hAnsi="仿宋" w:eastAsia="仿宋" w:cs="仿宋"/>
          <w:sz w:val="32"/>
          <w:szCs w:val="32"/>
        </w:rPr>
        <w:t>2003年9月27日</w:t>
      </w:r>
      <w:r>
        <w:rPr>
          <w:rFonts w:hint="eastAsia" w:ascii="仿宋" w:hAnsi="仿宋" w:eastAsia="仿宋" w:cs="仿宋"/>
          <w:sz w:val="32"/>
          <w:szCs w:val="32"/>
          <w:lang w:eastAsia="zh-CN"/>
        </w:rPr>
        <w:t>至</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日</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10.登记机关：枣庄市工商行政管理局</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11.登记状态：在营（开业）企业</w:t>
      </w:r>
    </w:p>
    <w:p>
      <w:pPr>
        <w:keepNext w:val="0"/>
        <w:keepLines w:val="0"/>
        <w:pageBreakBefore w:val="0"/>
        <w:kinsoku/>
        <w:overflowPunct/>
        <w:topLinePunct w:val="0"/>
        <w:autoSpaceDE/>
        <w:autoSpaceDN/>
        <w:bidi w:val="0"/>
        <w:adjustRightInd/>
        <w:snapToGrid/>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12.住所：</w:t>
      </w:r>
      <w:r>
        <w:rPr>
          <w:rFonts w:hint="eastAsia" w:ascii="仿宋" w:hAnsi="仿宋" w:eastAsia="仿宋" w:cs="仿宋"/>
          <w:sz w:val="32"/>
          <w:szCs w:val="32"/>
        </w:rPr>
        <w:t>山东省滕州市西岗镇</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13.邮政编码：277500</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14.网址：</w:t>
      </w:r>
    </w:p>
    <w:p>
      <w:pPr>
        <w:keepNext w:val="0"/>
        <w:keepLines w:val="0"/>
        <w:pageBreakBefore w:val="0"/>
        <w:widowControl w:val="0"/>
        <w:kinsoku/>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15．电子信箱:meiyuandc@163.com</w:t>
      </w:r>
    </w:p>
    <w:p>
      <w:pPr>
        <w:keepNext w:val="0"/>
        <w:keepLines w:val="0"/>
        <w:pageBreakBefore w:val="0"/>
        <w:kinsoku/>
        <w:overflowPunct/>
        <w:topLinePunct w:val="0"/>
        <w:autoSpaceDE/>
        <w:autoSpaceDN/>
        <w:bidi w:val="0"/>
        <w:adjustRightInd/>
        <w:snapToGrid/>
        <w:spacing w:line="560" w:lineRule="exact"/>
        <w:ind w:firstLine="640" w:firstLineChars="200"/>
        <w:rPr>
          <w:rFonts w:hint="eastAsia" w:ascii="仿宋" w:hAnsi="仿宋" w:eastAsia="仿宋" w:cs="仿宋"/>
          <w:b/>
          <w:sz w:val="32"/>
          <w:szCs w:val="32"/>
        </w:rPr>
      </w:pPr>
      <w:r>
        <w:rPr>
          <w:rFonts w:hint="eastAsia" w:ascii="仿宋" w:hAnsi="仿宋" w:eastAsia="仿宋" w:cs="仿宋"/>
          <w:sz w:val="32"/>
          <w:szCs w:val="32"/>
          <w:lang w:val="en-US" w:eastAsia="zh-CN"/>
        </w:rPr>
        <w:t>16.经营范围：</w:t>
      </w:r>
      <w:r>
        <w:rPr>
          <w:rFonts w:hint="eastAsia" w:ascii="仿宋" w:hAnsi="仿宋" w:eastAsia="仿宋" w:cs="仿宋"/>
          <w:spacing w:val="-16"/>
          <w:kern w:val="0"/>
          <w:sz w:val="32"/>
          <w:szCs w:val="32"/>
        </w:rPr>
        <w:t>供电、供热及其副产品销售。</w:t>
      </w:r>
    </w:p>
    <w:p>
      <w:pPr>
        <w:keepNext w:val="0"/>
        <w:keepLines w:val="0"/>
        <w:pageBreakBefore w:val="0"/>
        <w:kinsoku/>
        <w:overflowPunct/>
        <w:topLinePunct w:val="0"/>
        <w:autoSpaceDE/>
        <w:autoSpaceDN/>
        <w:bidi w:val="0"/>
        <w:adjustRightInd/>
        <w:snapToGrid/>
        <w:spacing w:line="560" w:lineRule="exact"/>
        <w:ind w:firstLine="601"/>
        <w:rPr>
          <w:rFonts w:hint="eastAsia" w:ascii="仿宋" w:hAnsi="仿宋" w:eastAsia="仿宋" w:cs="仿宋"/>
          <w:sz w:val="32"/>
          <w:szCs w:val="32"/>
        </w:rPr>
      </w:pPr>
      <w:r>
        <w:rPr>
          <w:rFonts w:hint="eastAsia" w:ascii="仿宋" w:hAnsi="仿宋" w:eastAsia="仿宋" w:cs="仿宋"/>
          <w:sz w:val="32"/>
          <w:szCs w:val="32"/>
          <w:lang w:val="en-US" w:eastAsia="zh-CN"/>
        </w:rPr>
        <w:t>17.公司简介:</w:t>
      </w:r>
      <w:r>
        <w:rPr>
          <w:rFonts w:hint="eastAsia" w:ascii="仿宋" w:hAnsi="仿宋" w:eastAsia="仿宋" w:cs="仿宋"/>
          <w:sz w:val="32"/>
          <w:szCs w:val="32"/>
        </w:rPr>
        <w:t>枣庄矿业集团蒋庄煤矸石热电有限责任公司从2000年开始规划，发动蒋庄煤矿职工筹资兴建。该项目是经山东省经贸委批准立项建设的一个综合利用电厂，主要燃料为矿井产出的煤矸石（发热量约为6MJ/kg）和煤泥（发热量约为16MJ/kg），总装机容量为2×12MW，年发电能力为15840万Kwh，年供热能力为42万GJ。生产厂区座落在蒋庄煤矿工业广场西北部，占地面积2.54万平方米，总投资7600万元。</w:t>
      </w:r>
    </w:p>
    <w:p>
      <w:pPr>
        <w:keepNext w:val="0"/>
        <w:keepLines w:val="0"/>
        <w:pageBreakBefore w:val="0"/>
        <w:kinsoku/>
        <w:overflowPunct/>
        <w:topLinePunct w:val="0"/>
        <w:autoSpaceDE/>
        <w:autoSpaceDN/>
        <w:bidi w:val="0"/>
        <w:adjustRightInd/>
        <w:snapToGrid/>
        <w:spacing w:line="560" w:lineRule="exact"/>
        <w:ind w:firstLine="601"/>
        <w:rPr>
          <w:rFonts w:hint="eastAsia" w:ascii="仿宋" w:hAnsi="仿宋" w:eastAsia="仿宋" w:cs="仿宋"/>
          <w:sz w:val="32"/>
          <w:szCs w:val="32"/>
        </w:rPr>
      </w:pPr>
      <w:r>
        <w:rPr>
          <w:rFonts w:hint="eastAsia" w:ascii="仿宋" w:hAnsi="仿宋" w:eastAsia="仿宋" w:cs="仿宋"/>
          <w:sz w:val="32"/>
          <w:szCs w:val="32"/>
        </w:rPr>
        <w:t>该工程于2000年12月26日奠基，2001年5月28日开始安装。2002年6月20日两台机组同时试运转成功，具备并网发电条件。2002年9月30日，第一台机组一次并网试发电成功。2002年10月26日，第二台机组试发电一次性成功。</w:t>
      </w:r>
    </w:p>
    <w:p>
      <w:pPr>
        <w:keepNext w:val="0"/>
        <w:keepLines w:val="0"/>
        <w:pageBreakBefore w:val="0"/>
        <w:kinsoku/>
        <w:overflowPunct/>
        <w:topLinePunct w:val="0"/>
        <w:autoSpaceDE/>
        <w:autoSpaceDN/>
        <w:bidi w:val="0"/>
        <w:adjustRightInd/>
        <w:snapToGrid/>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公司成立之初是由枣庄矿业集团控股、蒋庄煤矿工会参股的一个股份制公司，注册资本为6318万元；枣庄矿业集团公司投资3223.252万元，占总股本的51%；枣庄矿业集团公司蒋庄矿工会（受职工委托投资）投资3094.9873万元，占总股本的49%；上述股东出资方式全部为货币资金，注入公司资本时均委托中介机构进行了验资。2009年被枣矿集团收购，枣庄矿业集团公司占100%的股权，枣庄矿业集团蒋庄煤矸石热电有限责任公司成为枣矿集团的法人独资公司。2015年10月份，按照山东能源規字【2015】37号文规定增加注册资本6000万元，目前注册资本为12318万元。</w:t>
      </w:r>
    </w:p>
    <w:p>
      <w:pPr>
        <w:pStyle w:val="2"/>
        <w:keepNext w:val="0"/>
        <w:keepLines w:val="0"/>
        <w:pageBreakBefore w:val="0"/>
        <w:kinsoku/>
        <w:overflowPunct/>
        <w:topLinePunct w:val="0"/>
        <w:autoSpaceDE/>
        <w:autoSpaceDN/>
        <w:bidi w:val="0"/>
        <w:adjustRightInd/>
        <w:snapToGrid/>
        <w:spacing w:line="560" w:lineRule="exact"/>
        <w:rPr>
          <w:rFonts w:hint="eastAsia" w:ascii="仿宋" w:hAnsi="仿宋" w:eastAsia="仿宋" w:cs="仿宋"/>
          <w:sz w:val="32"/>
          <w:szCs w:val="32"/>
        </w:rPr>
      </w:pPr>
      <w:r>
        <w:rPr>
          <w:rFonts w:hint="eastAsia" w:ascii="仿宋" w:hAnsi="仿宋" w:eastAsia="仿宋" w:cs="仿宋"/>
          <w:sz w:val="32"/>
          <w:szCs w:val="32"/>
        </w:rPr>
        <w:t>2012年7月26日，公司总计投入2.6亿筹建的枣庄市建阳热电有限公司，承担着薛城区西部城区的供暖工作，法定代表人为</w:t>
      </w:r>
      <w:r>
        <w:rPr>
          <w:rFonts w:hint="eastAsia" w:ascii="仿宋" w:hAnsi="仿宋" w:eastAsia="仿宋" w:cs="仿宋"/>
          <w:sz w:val="32"/>
          <w:szCs w:val="32"/>
          <w:lang w:eastAsia="zh-CN"/>
        </w:rPr>
        <w:t>张志</w:t>
      </w:r>
      <w:r>
        <w:rPr>
          <w:rFonts w:hint="eastAsia" w:ascii="仿宋" w:hAnsi="仿宋" w:eastAsia="仿宋" w:cs="仿宋"/>
          <w:sz w:val="32"/>
          <w:szCs w:val="32"/>
        </w:rPr>
        <w:t>，主要经营范围为生物质发电、供热等，目前运行状况良好。</w:t>
      </w:r>
    </w:p>
    <w:p>
      <w:pPr>
        <w:pStyle w:val="2"/>
        <w:keepNext w:val="0"/>
        <w:keepLines w:val="0"/>
        <w:pageBreakBefore w:val="0"/>
        <w:kinsoku/>
        <w:overflowPunct/>
        <w:topLinePunct w:val="0"/>
        <w:autoSpaceDE/>
        <w:autoSpaceDN/>
        <w:bidi w:val="0"/>
        <w:adjustRightInd/>
        <w:snapToGrid/>
        <w:spacing w:line="560" w:lineRule="exact"/>
        <w:ind w:firstLine="643" w:firstLineChars="200"/>
        <w:rPr>
          <w:rFonts w:hint="eastAsia" w:ascii="黑体" w:hAnsi="黑体" w:eastAsia="黑体" w:cs="黑体"/>
          <w:sz w:val="32"/>
          <w:szCs w:val="32"/>
          <w:lang w:eastAsia="zh-CN"/>
        </w:rPr>
      </w:pPr>
      <w:r>
        <w:rPr>
          <w:rFonts w:hint="eastAsia" w:ascii="黑体" w:hAnsi="黑体" w:eastAsia="黑体" w:cs="黑体"/>
          <w:b/>
          <w:bCs/>
          <w:sz w:val="32"/>
          <w:szCs w:val="32"/>
          <w:lang w:eastAsia="zh-CN"/>
        </w:rPr>
        <w:t>二、主要会计数据和财务指标</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b w:val="0"/>
          <w:sz w:val="32"/>
          <w:szCs w:val="32"/>
          <w:lang w:val="en-US" w:eastAsia="zh-CN"/>
        </w:rPr>
        <w:t>三季度主要会计数据和财务数据</w:t>
      </w:r>
    </w:p>
    <w:tbl>
      <w:tblPr>
        <w:tblStyle w:val="4"/>
        <w:tblW w:w="0" w:type="auto"/>
        <w:tblInd w:w="0" w:type="dxa"/>
        <w:tblLayout w:type="fixed"/>
        <w:tblCellMar>
          <w:top w:w="0" w:type="dxa"/>
          <w:left w:w="0" w:type="dxa"/>
          <w:bottom w:w="0" w:type="dxa"/>
          <w:right w:w="0" w:type="dxa"/>
        </w:tblCellMar>
      </w:tblPr>
      <w:tblGrid>
        <w:gridCol w:w="2373"/>
        <w:gridCol w:w="2102"/>
        <w:gridCol w:w="2205"/>
        <w:gridCol w:w="1663"/>
      </w:tblGrid>
      <w:tr>
        <w:tblPrEx>
          <w:tblCellMar>
            <w:top w:w="0" w:type="dxa"/>
            <w:left w:w="0" w:type="dxa"/>
            <w:bottom w:w="0" w:type="dxa"/>
            <w:right w:w="0" w:type="dxa"/>
          </w:tblCellMar>
        </w:tblPrEx>
        <w:trPr>
          <w:trHeight w:val="527" w:hRule="atLeast"/>
        </w:trPr>
        <w:tc>
          <w:tcPr>
            <w:tcW w:w="2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主要指标</w:t>
            </w:r>
          </w:p>
        </w:tc>
        <w:tc>
          <w:tcPr>
            <w:tcW w:w="21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本期金额（万元）</w:t>
            </w:r>
          </w:p>
        </w:tc>
        <w:tc>
          <w:tcPr>
            <w:tcW w:w="2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上期金额（万元）</w:t>
            </w:r>
          </w:p>
        </w:tc>
        <w:tc>
          <w:tcPr>
            <w:tcW w:w="1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变动比例（%）</w:t>
            </w:r>
          </w:p>
        </w:tc>
      </w:tr>
      <w:tr>
        <w:tblPrEx>
          <w:tblCellMar>
            <w:top w:w="0" w:type="dxa"/>
            <w:left w:w="0" w:type="dxa"/>
            <w:bottom w:w="0" w:type="dxa"/>
            <w:right w:w="0" w:type="dxa"/>
          </w:tblCellMar>
        </w:tblPrEx>
        <w:trPr>
          <w:trHeight w:val="412" w:hRule="atLeast"/>
        </w:trPr>
        <w:tc>
          <w:tcPr>
            <w:tcW w:w="2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营业收入</w:t>
            </w:r>
          </w:p>
        </w:tc>
        <w:tc>
          <w:tcPr>
            <w:tcW w:w="21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default" w:ascii="宋体_方正超大字符集" w:hAnsi="宋体_方正超大字符集" w:eastAsia="宋体_方正超大字符集" w:cs="宋体_方正超大字符集"/>
                <w:i w:val="0"/>
                <w:color w:val="000000"/>
                <w:kern w:val="0"/>
                <w:sz w:val="18"/>
                <w:szCs w:val="18"/>
                <w:u w:val="none"/>
                <w:lang w:val="en-US" w:eastAsia="zh-CN" w:bidi="ar"/>
              </w:rPr>
              <w:t>8,178.68</w:t>
            </w:r>
          </w:p>
        </w:tc>
        <w:tc>
          <w:tcPr>
            <w:tcW w:w="2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default" w:ascii="宋体_方正超大字符集" w:hAnsi="宋体_方正超大字符集" w:eastAsia="宋体_方正超大字符集" w:cs="宋体_方正超大字符集"/>
                <w:i w:val="0"/>
                <w:color w:val="000000"/>
                <w:kern w:val="0"/>
                <w:sz w:val="18"/>
                <w:szCs w:val="18"/>
                <w:u w:val="none"/>
                <w:lang w:val="en-US" w:eastAsia="zh-CN" w:bidi="ar"/>
              </w:rPr>
              <w:t>6,846.84</w:t>
            </w:r>
          </w:p>
        </w:tc>
        <w:tc>
          <w:tcPr>
            <w:tcW w:w="1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19.45%</w:t>
            </w:r>
          </w:p>
        </w:tc>
      </w:tr>
      <w:tr>
        <w:tblPrEx>
          <w:tblCellMar>
            <w:top w:w="0" w:type="dxa"/>
            <w:left w:w="0" w:type="dxa"/>
            <w:bottom w:w="0" w:type="dxa"/>
            <w:right w:w="0" w:type="dxa"/>
          </w:tblCellMar>
        </w:tblPrEx>
        <w:trPr>
          <w:trHeight w:val="412" w:hRule="atLeast"/>
        </w:trPr>
        <w:tc>
          <w:tcPr>
            <w:tcW w:w="2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营业成本</w:t>
            </w:r>
          </w:p>
        </w:tc>
        <w:tc>
          <w:tcPr>
            <w:tcW w:w="21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default" w:ascii="宋体_方正超大字符集" w:hAnsi="宋体_方正超大字符集" w:eastAsia="宋体_方正超大字符集" w:cs="宋体_方正超大字符集"/>
                <w:i w:val="0"/>
                <w:color w:val="000000"/>
                <w:kern w:val="0"/>
                <w:sz w:val="18"/>
                <w:szCs w:val="18"/>
                <w:u w:val="none"/>
                <w:lang w:val="en-US" w:eastAsia="zh-CN" w:bidi="ar"/>
              </w:rPr>
              <w:t>7,571.77</w:t>
            </w:r>
          </w:p>
        </w:tc>
        <w:tc>
          <w:tcPr>
            <w:tcW w:w="2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default" w:ascii="宋体_方正超大字符集" w:hAnsi="宋体_方正超大字符集" w:eastAsia="宋体_方正超大字符集" w:cs="宋体_方正超大字符集"/>
                <w:i w:val="0"/>
                <w:color w:val="000000"/>
                <w:kern w:val="0"/>
                <w:sz w:val="18"/>
                <w:szCs w:val="18"/>
                <w:u w:val="none"/>
                <w:lang w:val="en-US" w:eastAsia="zh-CN" w:bidi="ar"/>
              </w:rPr>
              <w:t>5,773.66</w:t>
            </w:r>
          </w:p>
        </w:tc>
        <w:tc>
          <w:tcPr>
            <w:tcW w:w="1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31.14%</w:t>
            </w:r>
          </w:p>
        </w:tc>
      </w:tr>
      <w:tr>
        <w:tblPrEx>
          <w:tblCellMar>
            <w:top w:w="0" w:type="dxa"/>
            <w:left w:w="0" w:type="dxa"/>
            <w:bottom w:w="0" w:type="dxa"/>
            <w:right w:w="0" w:type="dxa"/>
          </w:tblCellMar>
        </w:tblPrEx>
        <w:trPr>
          <w:trHeight w:val="412" w:hRule="atLeast"/>
        </w:trPr>
        <w:tc>
          <w:tcPr>
            <w:tcW w:w="2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利润总额</w:t>
            </w:r>
          </w:p>
        </w:tc>
        <w:tc>
          <w:tcPr>
            <w:tcW w:w="21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default" w:ascii="宋体_方正超大字符集" w:hAnsi="宋体_方正超大字符集" w:eastAsia="宋体_方正超大字符集" w:cs="宋体_方正超大字符集"/>
                <w:i w:val="0"/>
                <w:color w:val="000000"/>
                <w:kern w:val="0"/>
                <w:sz w:val="18"/>
                <w:szCs w:val="18"/>
                <w:u w:val="none"/>
                <w:lang w:val="en-US" w:eastAsia="zh-CN" w:bidi="ar"/>
              </w:rPr>
              <w:t>203.37</w:t>
            </w:r>
          </w:p>
        </w:tc>
        <w:tc>
          <w:tcPr>
            <w:tcW w:w="2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default" w:ascii="宋体_方正超大字符集" w:hAnsi="宋体_方正超大字符集" w:eastAsia="宋体_方正超大字符集" w:cs="宋体_方正超大字符集"/>
                <w:i w:val="0"/>
                <w:color w:val="000000"/>
                <w:kern w:val="0"/>
                <w:sz w:val="18"/>
                <w:szCs w:val="18"/>
                <w:u w:val="none"/>
                <w:lang w:val="en-US" w:eastAsia="zh-CN" w:bidi="ar"/>
              </w:rPr>
              <w:t>449.65</w:t>
            </w:r>
          </w:p>
        </w:tc>
        <w:tc>
          <w:tcPr>
            <w:tcW w:w="1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-54.77%</w:t>
            </w:r>
          </w:p>
        </w:tc>
      </w:tr>
      <w:tr>
        <w:tblPrEx>
          <w:tblCellMar>
            <w:top w:w="0" w:type="dxa"/>
            <w:left w:w="0" w:type="dxa"/>
            <w:bottom w:w="0" w:type="dxa"/>
            <w:right w:w="0" w:type="dxa"/>
          </w:tblCellMar>
        </w:tblPrEx>
        <w:trPr>
          <w:trHeight w:val="412" w:hRule="atLeast"/>
        </w:trPr>
        <w:tc>
          <w:tcPr>
            <w:tcW w:w="2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净利润</w:t>
            </w:r>
          </w:p>
        </w:tc>
        <w:tc>
          <w:tcPr>
            <w:tcW w:w="21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default" w:ascii="宋体_方正超大字符集" w:hAnsi="宋体_方正超大字符集" w:eastAsia="宋体_方正超大字符集" w:cs="宋体_方正超大字符集"/>
                <w:i w:val="0"/>
                <w:color w:val="000000"/>
                <w:kern w:val="0"/>
                <w:sz w:val="18"/>
                <w:szCs w:val="18"/>
                <w:u w:val="none"/>
                <w:lang w:val="en-US" w:eastAsia="zh-CN" w:bidi="ar"/>
              </w:rPr>
              <w:t>120.12</w:t>
            </w:r>
          </w:p>
        </w:tc>
        <w:tc>
          <w:tcPr>
            <w:tcW w:w="2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default" w:ascii="宋体_方正超大字符集" w:hAnsi="宋体_方正超大字符集" w:eastAsia="宋体_方正超大字符集" w:cs="宋体_方正超大字符集"/>
                <w:i w:val="0"/>
                <w:color w:val="000000"/>
                <w:kern w:val="0"/>
                <w:sz w:val="18"/>
                <w:szCs w:val="18"/>
                <w:u w:val="none"/>
                <w:lang w:val="en-US" w:eastAsia="zh-CN" w:bidi="ar"/>
              </w:rPr>
              <w:t>289.69</w:t>
            </w:r>
          </w:p>
        </w:tc>
        <w:tc>
          <w:tcPr>
            <w:tcW w:w="1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-58.53%</w:t>
            </w:r>
          </w:p>
        </w:tc>
      </w:tr>
      <w:tr>
        <w:tblPrEx>
          <w:tblCellMar>
            <w:top w:w="0" w:type="dxa"/>
            <w:left w:w="0" w:type="dxa"/>
            <w:bottom w:w="0" w:type="dxa"/>
            <w:right w:w="0" w:type="dxa"/>
          </w:tblCellMar>
        </w:tblPrEx>
        <w:trPr>
          <w:trHeight w:val="485" w:hRule="atLeast"/>
        </w:trPr>
        <w:tc>
          <w:tcPr>
            <w:tcW w:w="2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主要指标</w:t>
            </w:r>
          </w:p>
        </w:tc>
        <w:tc>
          <w:tcPr>
            <w:tcW w:w="21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期末金额（万元）</w:t>
            </w:r>
          </w:p>
        </w:tc>
        <w:tc>
          <w:tcPr>
            <w:tcW w:w="2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年初金额（万元）</w:t>
            </w:r>
          </w:p>
        </w:tc>
        <w:tc>
          <w:tcPr>
            <w:tcW w:w="1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变动比例（%）</w:t>
            </w:r>
          </w:p>
        </w:tc>
      </w:tr>
      <w:tr>
        <w:tblPrEx>
          <w:tblCellMar>
            <w:top w:w="0" w:type="dxa"/>
            <w:left w:w="0" w:type="dxa"/>
            <w:bottom w:w="0" w:type="dxa"/>
            <w:right w:w="0" w:type="dxa"/>
          </w:tblCellMar>
        </w:tblPrEx>
        <w:trPr>
          <w:trHeight w:val="412" w:hRule="atLeast"/>
        </w:trPr>
        <w:tc>
          <w:tcPr>
            <w:tcW w:w="2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资产总额</w:t>
            </w:r>
          </w:p>
        </w:tc>
        <w:tc>
          <w:tcPr>
            <w:tcW w:w="21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default" w:ascii="宋体_方正超大字符集" w:hAnsi="宋体_方正超大字符集" w:eastAsia="宋体_方正超大字符集" w:cs="宋体_方正超大字符集"/>
                <w:i w:val="0"/>
                <w:color w:val="000000"/>
                <w:kern w:val="0"/>
                <w:sz w:val="18"/>
                <w:szCs w:val="18"/>
                <w:u w:val="none"/>
                <w:lang w:val="en-US" w:eastAsia="zh-CN" w:bidi="ar"/>
              </w:rPr>
              <w:t>38,530.86</w:t>
            </w:r>
          </w:p>
        </w:tc>
        <w:tc>
          <w:tcPr>
            <w:tcW w:w="2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default" w:ascii="宋体_方正超大字符集" w:hAnsi="宋体_方正超大字符集" w:eastAsia="宋体_方正超大字符集" w:cs="宋体_方正超大字符集"/>
                <w:i w:val="0"/>
                <w:color w:val="000000"/>
                <w:kern w:val="0"/>
                <w:sz w:val="18"/>
                <w:szCs w:val="18"/>
                <w:u w:val="none"/>
                <w:lang w:val="en-US" w:eastAsia="zh-CN" w:bidi="ar"/>
              </w:rPr>
              <w:t>42,046.66</w:t>
            </w:r>
          </w:p>
        </w:tc>
        <w:tc>
          <w:tcPr>
            <w:tcW w:w="1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-8.36%</w:t>
            </w:r>
          </w:p>
        </w:tc>
      </w:tr>
      <w:tr>
        <w:tblPrEx>
          <w:tblCellMar>
            <w:top w:w="0" w:type="dxa"/>
            <w:left w:w="0" w:type="dxa"/>
            <w:bottom w:w="0" w:type="dxa"/>
            <w:right w:w="0" w:type="dxa"/>
          </w:tblCellMar>
        </w:tblPrEx>
        <w:trPr>
          <w:trHeight w:val="412" w:hRule="atLeast"/>
        </w:trPr>
        <w:tc>
          <w:tcPr>
            <w:tcW w:w="2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负债总额</w:t>
            </w:r>
          </w:p>
        </w:tc>
        <w:tc>
          <w:tcPr>
            <w:tcW w:w="21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default" w:ascii="宋体_方正超大字符集" w:hAnsi="宋体_方正超大字符集" w:eastAsia="宋体_方正超大字符集" w:cs="宋体_方正超大字符集"/>
                <w:i w:val="0"/>
                <w:color w:val="000000"/>
                <w:kern w:val="0"/>
                <w:sz w:val="18"/>
                <w:szCs w:val="18"/>
                <w:u w:val="none"/>
                <w:lang w:val="en-US" w:eastAsia="zh-CN" w:bidi="ar"/>
              </w:rPr>
              <w:t>3,871.99</w:t>
            </w:r>
          </w:p>
        </w:tc>
        <w:tc>
          <w:tcPr>
            <w:tcW w:w="2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default" w:ascii="宋体_方正超大字符集" w:hAnsi="宋体_方正超大字符集" w:eastAsia="宋体_方正超大字符集" w:cs="宋体_方正超大字符集"/>
                <w:i w:val="0"/>
                <w:color w:val="000000"/>
                <w:kern w:val="0"/>
                <w:sz w:val="18"/>
                <w:szCs w:val="18"/>
                <w:u w:val="none"/>
                <w:lang w:val="en-US" w:eastAsia="zh-CN" w:bidi="ar"/>
              </w:rPr>
              <w:t>7,507.90</w:t>
            </w:r>
          </w:p>
        </w:tc>
        <w:tc>
          <w:tcPr>
            <w:tcW w:w="1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-48.43%</w:t>
            </w:r>
          </w:p>
        </w:tc>
      </w:tr>
      <w:tr>
        <w:tblPrEx>
          <w:tblCellMar>
            <w:top w:w="0" w:type="dxa"/>
            <w:left w:w="0" w:type="dxa"/>
            <w:bottom w:w="0" w:type="dxa"/>
            <w:right w:w="0" w:type="dxa"/>
          </w:tblCellMar>
        </w:tblPrEx>
        <w:trPr>
          <w:trHeight w:val="423" w:hRule="atLeast"/>
        </w:trPr>
        <w:tc>
          <w:tcPr>
            <w:tcW w:w="2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所有者权益</w:t>
            </w:r>
          </w:p>
        </w:tc>
        <w:tc>
          <w:tcPr>
            <w:tcW w:w="21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default" w:ascii="宋体_方正超大字符集" w:hAnsi="宋体_方正超大字符集" w:eastAsia="宋体_方正超大字符集" w:cs="宋体_方正超大字符集"/>
                <w:i w:val="0"/>
                <w:color w:val="000000"/>
                <w:kern w:val="0"/>
                <w:sz w:val="18"/>
                <w:szCs w:val="18"/>
                <w:u w:val="none"/>
                <w:lang w:val="en-US" w:eastAsia="zh-CN" w:bidi="ar"/>
              </w:rPr>
              <w:t>34,658.87</w:t>
            </w:r>
          </w:p>
        </w:tc>
        <w:tc>
          <w:tcPr>
            <w:tcW w:w="22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default" w:ascii="宋体_方正超大字符集" w:hAnsi="宋体_方正超大字符集" w:eastAsia="宋体_方正超大字符集" w:cs="宋体_方正超大字符集"/>
                <w:i w:val="0"/>
                <w:color w:val="000000"/>
                <w:kern w:val="0"/>
                <w:sz w:val="18"/>
                <w:szCs w:val="18"/>
                <w:u w:val="none"/>
                <w:lang w:val="en-US" w:eastAsia="zh-CN" w:bidi="ar"/>
              </w:rPr>
              <w:t>34,538.76</w:t>
            </w:r>
          </w:p>
        </w:tc>
        <w:tc>
          <w:tcPr>
            <w:tcW w:w="1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0.35%</w:t>
            </w:r>
          </w:p>
        </w:tc>
      </w:tr>
    </w:tbl>
    <w:p>
      <w:pPr>
        <w:pStyle w:val="2"/>
        <w:ind w:firstLine="640" w:firstLineChars="200"/>
        <w:rPr>
          <w:rFonts w:hint="eastAsia" w:ascii="黑体" w:hAnsi="黑体" w:eastAsia="黑体" w:cs="黑体"/>
          <w:lang w:val="en-US" w:eastAsia="zh-CN"/>
        </w:rPr>
      </w:pPr>
      <w:r>
        <w:rPr>
          <w:rFonts w:hint="eastAsia" w:ascii="黑体" w:hAnsi="黑体" w:eastAsia="黑体" w:cs="黑体"/>
          <w:lang w:val="en-US" w:eastAsia="zh-CN"/>
        </w:rPr>
        <w:t>三、财务预算执行情况</w:t>
      </w:r>
    </w:p>
    <w:p>
      <w:pPr>
        <w:pStyle w:val="2"/>
        <w:ind w:firstLine="640" w:firstLineChars="200"/>
        <w:rPr>
          <w:rFonts w:hint="eastAsia" w:ascii="黑体" w:hAnsi="黑体" w:eastAsia="黑体" w:cs="黑体"/>
          <w:lang w:val="en-US" w:eastAsia="zh-CN"/>
        </w:rPr>
      </w:pPr>
      <w:r>
        <w:rPr>
          <w:rFonts w:hint="eastAsia" w:ascii="仿宋" w:hAnsi="仿宋" w:eastAsia="仿宋" w:cs="仿宋"/>
          <w:lang w:val="en-US" w:eastAsia="zh-CN"/>
        </w:rPr>
        <w:t>2021年三季度，由于燃料成本持续增高，发电亏损，经公司经理层会议讨论，报矿领导决定，基本都是单台机组运行，造成年初预算三季度发电量指标、销售电量、利润指标未完成，其它各项经营指标完成较好。</w:t>
      </w:r>
    </w:p>
    <w:p>
      <w:pPr>
        <w:pStyle w:val="2"/>
        <w:ind w:firstLine="640" w:firstLineChars="200"/>
        <w:rPr>
          <w:rFonts w:hint="eastAsia" w:ascii="黑体" w:hAnsi="黑体" w:eastAsia="黑体" w:cs="黑体"/>
          <w:lang w:val="en-US" w:eastAsia="zh-CN"/>
        </w:rPr>
      </w:pPr>
      <w:r>
        <w:rPr>
          <w:rFonts w:hint="eastAsia" w:ascii="黑体" w:hAnsi="黑体" w:eastAsia="黑体" w:cs="黑体"/>
          <w:lang w:val="en-US" w:eastAsia="zh-CN"/>
        </w:rPr>
        <w:t>四、季度内发生的重大事项及对企业的影响</w:t>
      </w:r>
    </w:p>
    <w:p>
      <w:pPr>
        <w:pStyle w:val="2"/>
        <w:ind w:firstLine="640" w:firstLineChars="200"/>
        <w:rPr>
          <w:rFonts w:hint="eastAsia" w:ascii="仿宋" w:hAnsi="仿宋" w:eastAsia="仿宋" w:cs="仿宋"/>
          <w:lang w:val="en-US" w:eastAsia="zh-CN"/>
        </w:rPr>
      </w:pPr>
      <w:r>
        <w:rPr>
          <w:rFonts w:hint="eastAsia" w:ascii="仿宋" w:hAnsi="仿宋" w:eastAsia="仿宋" w:cs="仿宋"/>
          <w:lang w:val="en-US" w:eastAsia="zh-CN"/>
        </w:rPr>
        <w:t>公司生产经营符合法律、行政法规、规章、规范性文件及本公司章程的规定，不存在超出经营范围或资质范围经营的情形；本公司内部控制制度健全，具有持续经营能力，不存在重大经营风险、财务风险和法律风险；不存在重大违约、虚假信息披露或者其他重大违法违规行为；不存在受到过主管部门、监管部门的重大行政处罚的情形；亦不存在现实或潜在的重大诉讼、仲裁或重大侵权</w:t>
      </w:r>
      <w:bookmarkStart w:id="0" w:name="_GoBack"/>
      <w:bookmarkEnd w:id="0"/>
      <w:r>
        <w:rPr>
          <w:rFonts w:hint="eastAsia" w:ascii="仿宋" w:hAnsi="仿宋" w:eastAsia="仿宋" w:cs="仿宋"/>
          <w:lang w:val="en-US" w:eastAsia="zh-CN"/>
        </w:rPr>
        <w:t>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宋体_方正超大字符集">
    <w:altName w:val="宋体"/>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0B751B"/>
    <w:rsid w:val="120B75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480" w:lineRule="exact"/>
      <w:ind w:left="0"/>
      <w:textAlignment w:val="auto"/>
    </w:pPr>
    <w:rPr>
      <w:rFonts w:ascii="仿宋_GB2312" w:hAnsi="宋体" w:eastAsia="仿宋_GB2312" w:cs="Times New Roman"/>
      <w:kern w:val="2"/>
      <w:sz w:val="32"/>
      <w:szCs w:val="24"/>
    </w:rPr>
  </w:style>
  <w:style w:type="paragraph" w:styleId="3">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6">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2021-12-30T02:52:00Z</dcterms:created>
  <dc:creator>雨水</dc:creator>
  <cp:lastModifiedBy>雨水</cp:lastModifiedBy>
  <dcterms:modified xsi:type="dcterms:W3CDTF">2021-12-30T02:55:37Z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2052-11.1.0.11284</vt:lpwstr>
  </property>
  <property fmtid="{D5CDD505-2E9C-101B-9397-08002B2CF9AE}" pid="3" name="ICV">
    <vt:lpwstr>EA03987E31DE413DAF84840B061A9B1D</vt:lpwstr>
  </property>
</Properties>
</file>