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9089" w14:textId="77777777" w:rsidR="00E71D59" w:rsidRDefault="00E71D59">
      <w:pPr>
        <w:spacing w:line="560" w:lineRule="exact"/>
        <w:jc w:val="center"/>
        <w:rPr>
          <w:rFonts w:ascii="方正小标宋简体" w:eastAsia="方正小标宋简体" w:hAnsi="方正小标宋简体" w:cs="方正小标宋简体"/>
          <w:sz w:val="44"/>
          <w:szCs w:val="44"/>
        </w:rPr>
      </w:pPr>
    </w:p>
    <w:p w14:paraId="044CC6AB" w14:textId="77777777" w:rsidR="00E71D59" w:rsidRDefault="00E71D59">
      <w:pPr>
        <w:spacing w:line="560" w:lineRule="exact"/>
        <w:jc w:val="center"/>
        <w:rPr>
          <w:rFonts w:ascii="方正小标宋简体" w:eastAsia="方正小标宋简体" w:hAnsi="方正小标宋简体" w:cs="方正小标宋简体"/>
          <w:sz w:val="44"/>
          <w:szCs w:val="44"/>
        </w:rPr>
      </w:pPr>
    </w:p>
    <w:p w14:paraId="421D2624" w14:textId="77777777" w:rsidR="00CF71AA" w:rsidRDefault="0017239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山东同泰能化有限公司</w:t>
      </w:r>
    </w:p>
    <w:p w14:paraId="6FDA67A2" w14:textId="0D95AD11" w:rsidR="00E71D59" w:rsidRDefault="0017239E">
      <w:pPr>
        <w:spacing w:line="560" w:lineRule="exact"/>
        <w:jc w:val="center"/>
        <w:rPr>
          <w:rFonts w:ascii="方正小标宋简体" w:eastAsia="方正小标宋简体" w:hAnsi="方正小标宋简体" w:cs="方正小标宋简体"/>
          <w:color w:val="FF0000"/>
          <w:sz w:val="32"/>
          <w:szCs w:val="32"/>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年度财务等重大信息公告</w:t>
      </w:r>
      <w:r w:rsidR="00CF71AA">
        <w:rPr>
          <w:rFonts w:ascii="方正小标宋简体" w:eastAsia="方正小标宋简体" w:hAnsi="方正小标宋简体" w:cs="方正小标宋简体" w:hint="eastAsia"/>
          <w:sz w:val="44"/>
          <w:szCs w:val="44"/>
        </w:rPr>
        <w:t>2</w:t>
      </w:r>
    </w:p>
    <w:p w14:paraId="28C69CA0" w14:textId="77777777" w:rsidR="00E71D59" w:rsidRDefault="00E71D59">
      <w:pPr>
        <w:spacing w:line="640" w:lineRule="exact"/>
        <w:ind w:firstLineChars="200" w:firstLine="420"/>
      </w:pPr>
    </w:p>
    <w:p w14:paraId="667379D1" w14:textId="77777777" w:rsidR="00E71D59" w:rsidRDefault="0017239E">
      <w:pPr>
        <w:spacing w:line="640" w:lineRule="exact"/>
        <w:jc w:val="center"/>
        <w:rPr>
          <w:rFonts w:ascii="黑体" w:eastAsia="黑体" w:hAnsi="黑体" w:cs="黑体"/>
          <w:sz w:val="32"/>
          <w:szCs w:val="32"/>
        </w:rPr>
      </w:pPr>
      <w:r>
        <w:rPr>
          <w:rFonts w:ascii="黑体" w:eastAsia="黑体" w:hAnsi="黑体" w:cs="黑体" w:hint="eastAsia"/>
          <w:sz w:val="32"/>
          <w:szCs w:val="32"/>
        </w:rPr>
        <w:t>重要提示</w:t>
      </w:r>
    </w:p>
    <w:p w14:paraId="77154301" w14:textId="77777777" w:rsidR="00E71D59" w:rsidRDefault="00E71D59">
      <w:pPr>
        <w:spacing w:line="640" w:lineRule="exact"/>
        <w:ind w:firstLineChars="200" w:firstLine="640"/>
        <w:rPr>
          <w:rFonts w:ascii="黑体" w:eastAsia="黑体" w:hAnsi="黑体" w:cs="黑体"/>
          <w:sz w:val="32"/>
          <w:szCs w:val="32"/>
        </w:rPr>
      </w:pPr>
    </w:p>
    <w:p w14:paraId="05B875C7" w14:textId="77777777" w:rsidR="00E71D59" w:rsidRDefault="0017239E">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本公司董事会及全体董事保证本公告内容不存在任何虚假记载、误导性陈述或者重大遗漏，并对其内容的真实性、准确性和完整性承担个别及连带责任。</w:t>
      </w:r>
    </w:p>
    <w:p w14:paraId="108B02E0" w14:textId="77777777" w:rsidR="00E71D59" w:rsidRDefault="0017239E">
      <w:pPr>
        <w:spacing w:line="640" w:lineRule="exact"/>
        <w:rPr>
          <w:rFonts w:ascii="黑体" w:eastAsia="黑体" w:hAnsi="黑体" w:cs="黑体"/>
          <w:sz w:val="32"/>
          <w:szCs w:val="32"/>
        </w:rPr>
      </w:pPr>
      <w:r>
        <w:rPr>
          <w:rFonts w:ascii="黑体" w:eastAsia="黑体" w:hAnsi="黑体" w:cs="黑体" w:hint="eastAsia"/>
          <w:sz w:val="32"/>
          <w:szCs w:val="32"/>
        </w:rPr>
        <w:br w:type="page"/>
      </w:r>
    </w:p>
    <w:p w14:paraId="3FFA0BF7" w14:textId="77777777" w:rsidR="00E71D59" w:rsidRDefault="0017239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一、公司基本情况</w:t>
      </w:r>
    </w:p>
    <w:p w14:paraId="76A9CC3B"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统一社会信用代码：</w:t>
      </w:r>
      <w:r>
        <w:rPr>
          <w:rFonts w:ascii="仿宋_GB2312" w:eastAsia="仿宋_GB2312" w:hAnsi="仿宋_GB2312" w:cs="仿宋_GB2312" w:hint="eastAsia"/>
          <w:sz w:val="32"/>
          <w:szCs w:val="32"/>
        </w:rPr>
        <w:t>913708267731797433</w:t>
      </w:r>
    </w:p>
    <w:p w14:paraId="6B0CFAE7"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单位名称：山东同泰能化有限公司</w:t>
      </w:r>
    </w:p>
    <w:p w14:paraId="6C025957"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注册号：</w:t>
      </w:r>
      <w:r>
        <w:rPr>
          <w:rFonts w:ascii="仿宋_GB2312" w:eastAsia="仿宋_GB2312" w:hAnsi="仿宋_GB2312" w:cs="仿宋_GB2312" w:hint="eastAsia"/>
          <w:sz w:val="32"/>
          <w:szCs w:val="32"/>
        </w:rPr>
        <w:t>370826228006052</w:t>
      </w:r>
    </w:p>
    <w:p w14:paraId="312A4E53"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单位法定代表人：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周强</w:t>
      </w:r>
    </w:p>
    <w:p w14:paraId="3F0B9966"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单位类型：其他有限责任公司</w:t>
      </w:r>
    </w:p>
    <w:p w14:paraId="3B08B054"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成立日期：</w:t>
      </w:r>
      <w:r>
        <w:rPr>
          <w:rFonts w:ascii="仿宋_GB2312" w:eastAsia="仿宋_GB2312" w:hAnsi="仿宋_GB2312" w:cs="仿宋_GB2312" w:hint="eastAsia"/>
          <w:sz w:val="32"/>
          <w:szCs w:val="32"/>
        </w:rPr>
        <w:t>2005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04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日</w:t>
      </w:r>
    </w:p>
    <w:p w14:paraId="57614AED"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注册资本：</w:t>
      </w:r>
      <w:r>
        <w:rPr>
          <w:rFonts w:ascii="仿宋_GB2312" w:eastAsia="仿宋_GB2312" w:hAnsi="仿宋_GB2312" w:cs="仿宋_GB2312" w:hint="eastAsia"/>
          <w:sz w:val="32"/>
          <w:szCs w:val="32"/>
        </w:rPr>
        <w:t>15000.000000</w:t>
      </w:r>
      <w:r>
        <w:rPr>
          <w:rFonts w:ascii="仿宋_GB2312" w:eastAsia="仿宋_GB2312" w:hAnsi="仿宋_GB2312" w:cs="仿宋_GB2312" w:hint="eastAsia"/>
          <w:sz w:val="32"/>
          <w:szCs w:val="32"/>
        </w:rPr>
        <w:t>万人民币</w:t>
      </w:r>
      <w:r>
        <w:rPr>
          <w:rFonts w:ascii="仿宋_GB2312" w:eastAsia="仿宋_GB2312" w:hAnsi="仿宋_GB2312" w:cs="仿宋_GB2312" w:hint="eastAsia"/>
          <w:sz w:val="32"/>
          <w:szCs w:val="32"/>
        </w:rPr>
        <w:t xml:space="preserve"> </w:t>
      </w:r>
    </w:p>
    <w:p w14:paraId="4A8439B8"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核准日期：</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p>
    <w:p w14:paraId="4DA71698"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营业期限至：</w:t>
      </w:r>
      <w:r>
        <w:rPr>
          <w:rFonts w:ascii="仿宋_GB2312" w:eastAsia="仿宋_GB2312" w:hAnsi="仿宋_GB2312" w:cs="仿宋_GB2312" w:hint="eastAsia"/>
          <w:sz w:val="32"/>
          <w:szCs w:val="32"/>
        </w:rPr>
        <w:t>2035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04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日</w:t>
      </w:r>
    </w:p>
    <w:p w14:paraId="1E1A9B64"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登记机关：微山县市场监督管理局</w:t>
      </w:r>
    </w:p>
    <w:p w14:paraId="7DC7FA74"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登记状态：在营（开业）企业</w:t>
      </w:r>
    </w:p>
    <w:p w14:paraId="7BE03E01"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住所：微山县韩庄镇郗山</w:t>
      </w:r>
    </w:p>
    <w:p w14:paraId="64B7B4F5" w14:textId="77777777" w:rsidR="00E71D59" w:rsidRDefault="0017239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邮政编码：</w:t>
      </w:r>
      <w:r>
        <w:rPr>
          <w:rFonts w:ascii="仿宋_GB2312" w:eastAsia="仿宋_GB2312" w:hAnsi="仿宋_GB2312" w:cs="仿宋_GB2312" w:hint="eastAsia"/>
          <w:sz w:val="32"/>
          <w:szCs w:val="32"/>
        </w:rPr>
        <w:t>277600</w:t>
      </w:r>
    </w:p>
    <w:p w14:paraId="76A5F9EF" w14:textId="77777777" w:rsidR="00E71D59" w:rsidRDefault="0017239E">
      <w:pPr>
        <w:pStyle w:val="a0"/>
        <w:spacing w:after="0"/>
      </w:pPr>
      <w:r>
        <w:rPr>
          <w:rFonts w:ascii="仿宋_GB2312" w:eastAsia="仿宋_GB2312" w:hAnsi="仿宋_GB2312" w:cs="仿宋_GB2312" w:hint="eastAsia"/>
          <w:sz w:val="32"/>
          <w:szCs w:val="32"/>
        </w:rPr>
        <w:t xml:space="preserve">    14.</w:t>
      </w:r>
      <w:r>
        <w:rPr>
          <w:rFonts w:ascii="仿宋_GB2312" w:eastAsia="仿宋_GB2312" w:hAnsi="仿宋_GB2312" w:cs="仿宋_GB2312" w:hint="eastAsia"/>
          <w:sz w:val="32"/>
          <w:szCs w:val="32"/>
        </w:rPr>
        <w:t>电子信箱：</w:t>
      </w:r>
      <w:hyperlink r:id="rId7" w:history="1">
        <w:r>
          <w:rPr>
            <w:rStyle w:val="ab"/>
            <w:rFonts w:ascii="仿宋_GB2312" w:eastAsia="仿宋_GB2312" w:hAnsi="仿宋_GB2312" w:cs="仿宋_GB2312" w:hint="eastAsia"/>
            <w:sz w:val="32"/>
            <w:szCs w:val="32"/>
          </w:rPr>
          <w:t>tongtaijiaohua@163.com</w:t>
        </w:r>
      </w:hyperlink>
    </w:p>
    <w:p w14:paraId="58724B58"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经营范围：制造、销售：机制焦炭；煤焦油、粗苯、甲醇、硫磺铵、硫磺、煤气、液氧、液氩、液氮（凭许可证经营）；物流运输（不含危化品）；煤矿、煤化工设施安装、维修、技术咨询服务；防腐保温、保冷材料安装服务；铲车、工程车租赁服务；加工焦化机械设备及零部件；销售：煤炭、钢材、炭黑、矿渣微粉、粉煤灰、水渣、石子、运输带、钢坯、塑料制品、劳保用品、轮胎；场地及房屋租赁（不含融资租赁）；搬运装卸服务；（依法须经批准的项目，经相关部门批准后方可开展经营活动）。</w:t>
      </w:r>
    </w:p>
    <w:p w14:paraId="33C1632F" w14:textId="77777777" w:rsidR="00E71D59" w:rsidRDefault="0017239E">
      <w:pPr>
        <w:spacing w:line="560" w:lineRule="exact"/>
        <w:ind w:firstLineChars="200" w:firstLine="640"/>
        <w:rPr>
          <w:rFonts w:ascii="仿宋_GB2312" w:eastAsia="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公司简介</w:t>
      </w:r>
      <w:r>
        <w:rPr>
          <w:rFonts w:ascii="仿宋_GB2312" w:eastAsia="仿宋_GB2312" w:hAnsi="仿宋_GB2312" w:cs="仿宋_GB2312" w:hint="eastAsia"/>
          <w:sz w:val="32"/>
          <w:szCs w:val="32"/>
        </w:rPr>
        <w:t>:</w:t>
      </w:r>
      <w:r>
        <w:rPr>
          <w:rFonts w:ascii="仿宋_GB2312" w:eastAsia="仿宋_GB2312" w:cs="仿宋_GB2312" w:hint="eastAsia"/>
          <w:sz w:val="32"/>
          <w:szCs w:val="32"/>
        </w:rPr>
        <w:t>山东同泰能化</w:t>
      </w:r>
      <w:r>
        <w:rPr>
          <w:rFonts w:ascii="仿宋_GB2312" w:eastAsia="仿宋_GB2312" w:cs="仿宋_GB2312" w:hint="eastAsia"/>
          <w:sz w:val="32"/>
          <w:szCs w:val="32"/>
        </w:rPr>
        <w:t>有限</w:t>
      </w:r>
      <w:r>
        <w:rPr>
          <w:rFonts w:ascii="仿宋_GB2312" w:eastAsia="仿宋_GB2312" w:cs="仿宋_GB2312" w:hint="eastAsia"/>
          <w:sz w:val="32"/>
          <w:szCs w:val="32"/>
        </w:rPr>
        <w:t>公司（以下简称同泰公司），</w:t>
      </w:r>
      <w:r>
        <w:rPr>
          <w:rFonts w:ascii="仿宋_GB2312" w:eastAsia="仿宋_GB2312" w:cs="仿宋_GB2312" w:hint="eastAsia"/>
          <w:sz w:val="32"/>
          <w:szCs w:val="32"/>
        </w:rPr>
        <w:t>于</w:t>
      </w:r>
      <w:r>
        <w:rPr>
          <w:rFonts w:ascii="仿宋_GB2312" w:eastAsia="仿宋_GB2312" w:cs="仿宋_GB2312" w:hint="eastAsia"/>
          <w:sz w:val="32"/>
          <w:szCs w:val="32"/>
        </w:rPr>
        <w:t>2005</w:t>
      </w:r>
      <w:r>
        <w:rPr>
          <w:rFonts w:ascii="仿宋_GB2312" w:eastAsia="仿宋_GB2312" w:cs="仿宋_GB2312" w:hint="eastAsia"/>
          <w:sz w:val="32"/>
          <w:szCs w:val="32"/>
        </w:rPr>
        <w:t>年注册成立，</w:t>
      </w:r>
      <w:r>
        <w:rPr>
          <w:rFonts w:ascii="仿宋_GB2312" w:eastAsia="仿宋_GB2312" w:cs="仿宋_GB2312" w:hint="eastAsia"/>
          <w:sz w:val="32"/>
          <w:szCs w:val="32"/>
        </w:rPr>
        <w:t>2007</w:t>
      </w:r>
      <w:r>
        <w:rPr>
          <w:rFonts w:ascii="仿宋_GB2312" w:eastAsia="仿宋_GB2312" w:cs="仿宋_GB2312" w:hint="eastAsia"/>
          <w:sz w:val="32"/>
          <w:szCs w:val="32"/>
        </w:rPr>
        <w:t>年枣矿集团柴里煤矿注资参股扩建，后经两次股权变更，</w:t>
      </w:r>
      <w:r>
        <w:rPr>
          <w:rFonts w:ascii="仿宋_GB2312" w:eastAsia="仿宋_GB2312" w:cs="仿宋_GB2312" w:hint="eastAsia"/>
          <w:sz w:val="32"/>
          <w:szCs w:val="32"/>
        </w:rPr>
        <w:t>2014</w:t>
      </w:r>
      <w:r>
        <w:rPr>
          <w:rFonts w:ascii="仿宋_GB2312" w:eastAsia="仿宋_GB2312" w:cs="仿宋_GB2312" w:hint="eastAsia"/>
          <w:sz w:val="32"/>
          <w:szCs w:val="32"/>
        </w:rPr>
        <w:t>年至今，股权结构为枣矿集团持股</w:t>
      </w:r>
      <w:r>
        <w:rPr>
          <w:rFonts w:ascii="仿宋_GB2312" w:eastAsia="仿宋_GB2312" w:cs="仿宋_GB2312" w:hint="eastAsia"/>
          <w:sz w:val="32"/>
          <w:szCs w:val="32"/>
        </w:rPr>
        <w:t>40%</w:t>
      </w:r>
      <w:r>
        <w:rPr>
          <w:rFonts w:ascii="仿宋_GB2312" w:eastAsia="仿宋_GB2312" w:cs="仿宋_GB2312" w:hint="eastAsia"/>
          <w:sz w:val="32"/>
          <w:szCs w:val="32"/>
        </w:rPr>
        <w:t>，盛隆化工持股</w:t>
      </w:r>
      <w:r>
        <w:rPr>
          <w:rFonts w:ascii="仿宋_GB2312" w:eastAsia="仿宋_GB2312" w:cs="仿宋_GB2312" w:hint="eastAsia"/>
          <w:sz w:val="32"/>
          <w:szCs w:val="32"/>
        </w:rPr>
        <w:t>40%</w:t>
      </w:r>
      <w:r>
        <w:rPr>
          <w:rFonts w:ascii="仿宋_GB2312" w:eastAsia="仿宋_GB2312" w:cs="仿宋_GB2312" w:hint="eastAsia"/>
          <w:sz w:val="32"/>
          <w:szCs w:val="32"/>
        </w:rPr>
        <w:t>，山东鲁南公路工程公司持股</w:t>
      </w:r>
      <w:r>
        <w:rPr>
          <w:rFonts w:ascii="仿宋_GB2312" w:eastAsia="仿宋_GB2312" w:cs="仿宋_GB2312" w:hint="eastAsia"/>
          <w:sz w:val="32"/>
          <w:szCs w:val="32"/>
        </w:rPr>
        <w:t>13.33%</w:t>
      </w:r>
      <w:r>
        <w:rPr>
          <w:rFonts w:ascii="仿宋_GB2312" w:eastAsia="仿宋_GB2312" w:cs="仿宋_GB2312" w:hint="eastAsia"/>
          <w:sz w:val="32"/>
          <w:szCs w:val="32"/>
        </w:rPr>
        <w:t>，微山昊鑫贸易有限公司持股</w:t>
      </w:r>
      <w:r>
        <w:rPr>
          <w:rFonts w:ascii="仿宋_GB2312" w:eastAsia="仿宋_GB2312" w:cs="仿宋_GB2312" w:hint="eastAsia"/>
          <w:sz w:val="32"/>
          <w:szCs w:val="32"/>
        </w:rPr>
        <w:t>6.67%</w:t>
      </w:r>
      <w:r>
        <w:rPr>
          <w:rFonts w:ascii="仿宋_GB2312" w:eastAsia="仿宋_GB2312" w:cs="仿宋_GB2312" w:hint="eastAsia"/>
          <w:sz w:val="32"/>
          <w:szCs w:val="32"/>
        </w:rPr>
        <w:t>。同泰公司注册资本金</w:t>
      </w:r>
      <w:r>
        <w:rPr>
          <w:rFonts w:ascii="仿宋_GB2312" w:eastAsia="仿宋_GB2312" w:cs="仿宋_GB2312" w:hint="eastAsia"/>
          <w:sz w:val="32"/>
          <w:szCs w:val="32"/>
        </w:rPr>
        <w:t>1.5</w:t>
      </w:r>
      <w:r>
        <w:rPr>
          <w:rFonts w:ascii="仿宋_GB2312" w:eastAsia="仿宋_GB2312" w:cs="仿宋_GB2312" w:hint="eastAsia"/>
          <w:sz w:val="32"/>
          <w:szCs w:val="32"/>
        </w:rPr>
        <w:t>亿元，占地面积</w:t>
      </w:r>
      <w:r>
        <w:rPr>
          <w:rFonts w:ascii="仿宋_GB2312" w:eastAsia="仿宋_GB2312" w:cs="仿宋_GB2312" w:hint="eastAsia"/>
          <w:sz w:val="32"/>
          <w:szCs w:val="32"/>
        </w:rPr>
        <w:t>19</w:t>
      </w:r>
      <w:r>
        <w:rPr>
          <w:rFonts w:ascii="仿宋_GB2312" w:eastAsia="仿宋_GB2312" w:cs="仿宋_GB2312" w:hint="eastAsia"/>
          <w:sz w:val="32"/>
          <w:szCs w:val="32"/>
        </w:rPr>
        <w:t>万平方米，总投资</w:t>
      </w:r>
      <w:r>
        <w:rPr>
          <w:rFonts w:ascii="仿宋_GB2312" w:eastAsia="仿宋_GB2312" w:cs="仿宋_GB2312" w:hint="eastAsia"/>
          <w:sz w:val="32"/>
          <w:szCs w:val="32"/>
        </w:rPr>
        <w:t>6</w:t>
      </w:r>
      <w:r>
        <w:rPr>
          <w:rFonts w:ascii="仿宋_GB2312" w:eastAsia="仿宋_GB2312" w:cs="仿宋_GB2312" w:hint="eastAsia"/>
          <w:sz w:val="32"/>
          <w:szCs w:val="32"/>
        </w:rPr>
        <w:t>亿元，设计年产冶金焦</w:t>
      </w:r>
      <w:r>
        <w:rPr>
          <w:rFonts w:ascii="仿宋_GB2312" w:eastAsia="仿宋_GB2312" w:cs="仿宋_GB2312" w:hint="eastAsia"/>
          <w:sz w:val="32"/>
          <w:szCs w:val="32"/>
        </w:rPr>
        <w:t>60</w:t>
      </w:r>
      <w:r>
        <w:rPr>
          <w:rFonts w:ascii="仿宋_GB2312" w:eastAsia="仿宋_GB2312" w:cs="仿宋_GB2312" w:hint="eastAsia"/>
          <w:sz w:val="32"/>
          <w:szCs w:val="32"/>
        </w:rPr>
        <w:t>万吨，甲醇</w:t>
      </w:r>
      <w:r>
        <w:rPr>
          <w:rFonts w:ascii="仿宋_GB2312" w:eastAsia="仿宋_GB2312" w:cs="仿宋_GB2312" w:hint="eastAsia"/>
          <w:sz w:val="32"/>
          <w:szCs w:val="32"/>
        </w:rPr>
        <w:t>8</w:t>
      </w:r>
      <w:r>
        <w:rPr>
          <w:rFonts w:ascii="仿宋_GB2312" w:eastAsia="仿宋_GB2312" w:cs="仿宋_GB2312" w:hint="eastAsia"/>
          <w:sz w:val="32"/>
          <w:szCs w:val="32"/>
        </w:rPr>
        <w:t>万吨，焦油</w:t>
      </w:r>
      <w:r>
        <w:rPr>
          <w:rFonts w:ascii="仿宋_GB2312" w:eastAsia="仿宋_GB2312" w:cs="仿宋_GB2312" w:hint="eastAsia"/>
          <w:sz w:val="32"/>
          <w:szCs w:val="32"/>
        </w:rPr>
        <w:t>3</w:t>
      </w:r>
      <w:r>
        <w:rPr>
          <w:rFonts w:ascii="仿宋_GB2312" w:eastAsia="仿宋_GB2312" w:cs="仿宋_GB2312" w:hint="eastAsia"/>
          <w:sz w:val="32"/>
          <w:szCs w:val="32"/>
        </w:rPr>
        <w:t>万吨，粗苯</w:t>
      </w:r>
      <w:r>
        <w:rPr>
          <w:rFonts w:ascii="仿宋_GB2312" w:eastAsia="仿宋_GB2312" w:cs="仿宋_GB2312" w:hint="eastAsia"/>
          <w:sz w:val="32"/>
          <w:szCs w:val="32"/>
        </w:rPr>
        <w:t>1</w:t>
      </w:r>
      <w:r>
        <w:rPr>
          <w:rFonts w:ascii="仿宋_GB2312" w:eastAsia="仿宋_GB2312" w:cs="仿宋_GB2312" w:hint="eastAsia"/>
          <w:sz w:val="32"/>
          <w:szCs w:val="32"/>
        </w:rPr>
        <w:t>万吨，硫铵</w:t>
      </w:r>
      <w:r>
        <w:rPr>
          <w:rFonts w:ascii="仿宋_GB2312" w:eastAsia="仿宋_GB2312" w:cs="仿宋_GB2312" w:hint="eastAsia"/>
          <w:sz w:val="32"/>
          <w:szCs w:val="32"/>
        </w:rPr>
        <w:t>8000</w:t>
      </w:r>
      <w:r>
        <w:rPr>
          <w:rFonts w:ascii="仿宋_GB2312" w:eastAsia="仿宋_GB2312" w:cs="仿宋_GB2312" w:hint="eastAsia"/>
          <w:sz w:val="32"/>
          <w:szCs w:val="32"/>
        </w:rPr>
        <w:t>吨。</w:t>
      </w:r>
    </w:p>
    <w:p w14:paraId="1D06D15A" w14:textId="77777777" w:rsidR="00E71D59" w:rsidRDefault="0017239E">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2019</w:t>
      </w:r>
      <w:r>
        <w:rPr>
          <w:rFonts w:ascii="仿宋_GB2312" w:eastAsia="仿宋_GB2312" w:cs="仿宋_GB2312" w:hint="eastAsia"/>
          <w:sz w:val="32"/>
          <w:szCs w:val="32"/>
        </w:rPr>
        <w:t>年</w:t>
      </w:r>
      <w:r>
        <w:rPr>
          <w:rFonts w:ascii="仿宋_GB2312" w:eastAsia="仿宋_GB2312" w:cs="仿宋_GB2312" w:hint="eastAsia"/>
          <w:sz w:val="32"/>
          <w:szCs w:val="32"/>
        </w:rPr>
        <w:t>12</w:t>
      </w:r>
      <w:r>
        <w:rPr>
          <w:rFonts w:ascii="仿宋_GB2312" w:eastAsia="仿宋_GB2312" w:cs="仿宋_GB2312" w:hint="eastAsia"/>
          <w:sz w:val="32"/>
          <w:szCs w:val="32"/>
        </w:rPr>
        <w:t>月</w:t>
      </w:r>
      <w:r>
        <w:rPr>
          <w:rFonts w:ascii="仿宋_GB2312" w:eastAsia="仿宋_GB2312" w:cs="仿宋_GB2312" w:hint="eastAsia"/>
          <w:sz w:val="32"/>
          <w:szCs w:val="32"/>
        </w:rPr>
        <w:t>17</w:t>
      </w:r>
      <w:r>
        <w:rPr>
          <w:rFonts w:ascii="仿宋_GB2312" w:eastAsia="仿宋_GB2312" w:cs="仿宋_GB2312" w:hint="eastAsia"/>
          <w:sz w:val="32"/>
          <w:szCs w:val="32"/>
        </w:rPr>
        <w:t>日，根据山东省人民政府办公厅关于全省焦化产能压减转型升级实施高质量发展的相关文件精神，同泰公司焦炉停止加煤，全厂停车停产。</w:t>
      </w:r>
    </w:p>
    <w:p w14:paraId="299A23EB" w14:textId="77777777" w:rsidR="00E71D59" w:rsidRDefault="0017239E">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公司</w:t>
      </w:r>
      <w:r>
        <w:rPr>
          <w:rFonts w:ascii="仿宋_GB2312" w:eastAsia="仿宋_GB2312" w:cs="仿宋_GB2312" w:hint="eastAsia"/>
          <w:sz w:val="32"/>
          <w:szCs w:val="32"/>
        </w:rPr>
        <w:t>2020</w:t>
      </w:r>
      <w:r>
        <w:rPr>
          <w:rFonts w:ascii="仿宋_GB2312" w:eastAsia="仿宋_GB2312" w:cs="仿宋_GB2312" w:hint="eastAsia"/>
          <w:sz w:val="32"/>
          <w:szCs w:val="32"/>
        </w:rPr>
        <w:t>年</w:t>
      </w:r>
      <w:r>
        <w:rPr>
          <w:rFonts w:ascii="仿宋_GB2312" w:eastAsia="仿宋_GB2312" w:cs="仿宋_GB2312" w:hint="eastAsia"/>
          <w:sz w:val="32"/>
          <w:szCs w:val="32"/>
        </w:rPr>
        <w:t>以来的主要工作是人员安置分流、资产评估处置和安全稳定工作，同时借助区位优势，发挥企业原有上下游煤焦业务的资源平台，开展了煤焦化工产品的贸易业务。</w:t>
      </w:r>
    </w:p>
    <w:p w14:paraId="1960A705" w14:textId="77777777" w:rsidR="00E71D59" w:rsidRDefault="0017239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二、主要会计数据和财务指标</w:t>
      </w:r>
    </w:p>
    <w:p w14:paraId="2BF42A95" w14:textId="77777777" w:rsidR="00E71D59" w:rsidRDefault="0017239E">
      <w:pPr>
        <w:pStyle w:val="a8"/>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主要会计数据和财务数据。</w:t>
      </w:r>
    </w:p>
    <w:tbl>
      <w:tblPr>
        <w:tblW w:w="9145" w:type="dxa"/>
        <w:tblInd w:w="96" w:type="dxa"/>
        <w:tblLook w:val="04A0" w:firstRow="1" w:lastRow="0" w:firstColumn="1" w:lastColumn="0" w:noHBand="0" w:noVBand="1"/>
      </w:tblPr>
      <w:tblGrid>
        <w:gridCol w:w="1477"/>
        <w:gridCol w:w="2700"/>
        <w:gridCol w:w="2820"/>
        <w:gridCol w:w="2148"/>
      </w:tblGrid>
      <w:tr w:rsidR="00E71D59" w14:paraId="5817F119" w14:textId="77777777">
        <w:trPr>
          <w:trHeight w:val="303"/>
        </w:trPr>
        <w:tc>
          <w:tcPr>
            <w:tcW w:w="14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125FB5" w14:textId="77777777" w:rsidR="00E71D59" w:rsidRDefault="0017239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主要指标</w:t>
            </w:r>
          </w:p>
        </w:tc>
        <w:tc>
          <w:tcPr>
            <w:tcW w:w="2700" w:type="dxa"/>
            <w:tcBorders>
              <w:top w:val="single" w:sz="8" w:space="0" w:color="000000"/>
              <w:left w:val="nil"/>
              <w:bottom w:val="single" w:sz="8" w:space="0" w:color="000000"/>
              <w:right w:val="single" w:sz="8" w:space="0" w:color="000000"/>
            </w:tcBorders>
            <w:shd w:val="clear" w:color="auto" w:fill="auto"/>
            <w:vAlign w:val="center"/>
          </w:tcPr>
          <w:p w14:paraId="48EE8AD4" w14:textId="77777777" w:rsidR="00E71D59" w:rsidRDefault="0017239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本期金额（元）</w:t>
            </w:r>
          </w:p>
        </w:tc>
        <w:tc>
          <w:tcPr>
            <w:tcW w:w="2820" w:type="dxa"/>
            <w:tcBorders>
              <w:top w:val="single" w:sz="8" w:space="0" w:color="000000"/>
              <w:left w:val="nil"/>
              <w:bottom w:val="single" w:sz="8" w:space="0" w:color="000000"/>
              <w:right w:val="single" w:sz="8" w:space="0" w:color="000000"/>
            </w:tcBorders>
            <w:shd w:val="clear" w:color="auto" w:fill="auto"/>
            <w:vAlign w:val="center"/>
          </w:tcPr>
          <w:p w14:paraId="0250CC53" w14:textId="77777777" w:rsidR="00E71D59" w:rsidRDefault="0017239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上期金额（元）</w:t>
            </w:r>
          </w:p>
        </w:tc>
        <w:tc>
          <w:tcPr>
            <w:tcW w:w="2148" w:type="dxa"/>
            <w:tcBorders>
              <w:top w:val="single" w:sz="8" w:space="0" w:color="000000"/>
              <w:left w:val="nil"/>
              <w:bottom w:val="single" w:sz="8" w:space="0" w:color="000000"/>
              <w:right w:val="single" w:sz="8" w:space="0" w:color="000000"/>
            </w:tcBorders>
            <w:shd w:val="clear" w:color="auto" w:fill="auto"/>
            <w:vAlign w:val="center"/>
          </w:tcPr>
          <w:p w14:paraId="70BB2F71" w14:textId="77777777" w:rsidR="00E71D59" w:rsidRDefault="0017239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变动比例（</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w:t>
            </w:r>
          </w:p>
        </w:tc>
      </w:tr>
      <w:tr w:rsidR="00E71D59" w14:paraId="4C750B68" w14:textId="77777777">
        <w:trPr>
          <w:trHeight w:val="423"/>
        </w:trPr>
        <w:tc>
          <w:tcPr>
            <w:tcW w:w="1476" w:type="dxa"/>
            <w:tcBorders>
              <w:top w:val="nil"/>
              <w:left w:val="single" w:sz="8" w:space="0" w:color="000000"/>
              <w:bottom w:val="single" w:sz="8" w:space="0" w:color="000000"/>
              <w:right w:val="single" w:sz="8" w:space="0" w:color="000000"/>
            </w:tcBorders>
            <w:shd w:val="clear" w:color="auto" w:fill="auto"/>
            <w:vAlign w:val="center"/>
          </w:tcPr>
          <w:p w14:paraId="29891DFB"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营业收入</w:t>
            </w:r>
          </w:p>
        </w:tc>
        <w:tc>
          <w:tcPr>
            <w:tcW w:w="2700" w:type="dxa"/>
            <w:tcBorders>
              <w:top w:val="nil"/>
              <w:left w:val="nil"/>
              <w:bottom w:val="single" w:sz="8" w:space="0" w:color="000000"/>
              <w:right w:val="single" w:sz="8" w:space="0" w:color="000000"/>
            </w:tcBorders>
            <w:shd w:val="clear" w:color="auto" w:fill="auto"/>
            <w:vAlign w:val="center"/>
          </w:tcPr>
          <w:p w14:paraId="0C4FEE1E"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2,438,415,948.05</w:t>
            </w:r>
          </w:p>
        </w:tc>
        <w:tc>
          <w:tcPr>
            <w:tcW w:w="2820" w:type="dxa"/>
            <w:tcBorders>
              <w:top w:val="nil"/>
              <w:left w:val="nil"/>
              <w:bottom w:val="single" w:sz="8" w:space="0" w:color="000000"/>
              <w:right w:val="single" w:sz="8" w:space="0" w:color="000000"/>
            </w:tcBorders>
            <w:shd w:val="clear" w:color="auto" w:fill="auto"/>
            <w:vAlign w:val="center"/>
          </w:tcPr>
          <w:p w14:paraId="716EB6C2"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2,745,954,046.98</w:t>
            </w:r>
          </w:p>
        </w:tc>
        <w:tc>
          <w:tcPr>
            <w:tcW w:w="2148" w:type="dxa"/>
            <w:tcBorders>
              <w:top w:val="nil"/>
              <w:left w:val="nil"/>
              <w:bottom w:val="single" w:sz="8" w:space="0" w:color="000000"/>
              <w:right w:val="single" w:sz="8" w:space="0" w:color="000000"/>
            </w:tcBorders>
            <w:shd w:val="clear" w:color="auto" w:fill="auto"/>
            <w:vAlign w:val="center"/>
          </w:tcPr>
          <w:p w14:paraId="3F6623B7"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-11.20%</w:t>
            </w:r>
          </w:p>
        </w:tc>
      </w:tr>
      <w:tr w:rsidR="00E71D59" w14:paraId="3A87D455" w14:textId="77777777">
        <w:trPr>
          <w:trHeight w:val="423"/>
        </w:trPr>
        <w:tc>
          <w:tcPr>
            <w:tcW w:w="1476" w:type="dxa"/>
            <w:tcBorders>
              <w:top w:val="nil"/>
              <w:left w:val="single" w:sz="8" w:space="0" w:color="000000"/>
              <w:bottom w:val="single" w:sz="8" w:space="0" w:color="000000"/>
              <w:right w:val="single" w:sz="8" w:space="0" w:color="000000"/>
            </w:tcBorders>
            <w:shd w:val="clear" w:color="auto" w:fill="auto"/>
            <w:vAlign w:val="center"/>
          </w:tcPr>
          <w:p w14:paraId="41436C26"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营业成本</w:t>
            </w:r>
          </w:p>
        </w:tc>
        <w:tc>
          <w:tcPr>
            <w:tcW w:w="2700" w:type="dxa"/>
            <w:tcBorders>
              <w:top w:val="nil"/>
              <w:left w:val="nil"/>
              <w:bottom w:val="single" w:sz="8" w:space="0" w:color="000000"/>
              <w:right w:val="single" w:sz="8" w:space="0" w:color="000000"/>
            </w:tcBorders>
            <w:shd w:val="clear" w:color="auto" w:fill="auto"/>
            <w:vAlign w:val="center"/>
          </w:tcPr>
          <w:p w14:paraId="5298BFB3"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2,528,270,852.96</w:t>
            </w:r>
          </w:p>
        </w:tc>
        <w:tc>
          <w:tcPr>
            <w:tcW w:w="2820" w:type="dxa"/>
            <w:tcBorders>
              <w:top w:val="nil"/>
              <w:left w:val="nil"/>
              <w:bottom w:val="single" w:sz="8" w:space="0" w:color="000000"/>
              <w:right w:val="single" w:sz="8" w:space="0" w:color="000000"/>
            </w:tcBorders>
            <w:shd w:val="clear" w:color="auto" w:fill="auto"/>
            <w:vAlign w:val="center"/>
          </w:tcPr>
          <w:p w14:paraId="48FF2452"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2,608,122,580.63</w:t>
            </w:r>
          </w:p>
        </w:tc>
        <w:tc>
          <w:tcPr>
            <w:tcW w:w="2148" w:type="dxa"/>
            <w:tcBorders>
              <w:top w:val="nil"/>
              <w:left w:val="nil"/>
              <w:bottom w:val="single" w:sz="8" w:space="0" w:color="000000"/>
              <w:right w:val="single" w:sz="8" w:space="0" w:color="000000"/>
            </w:tcBorders>
            <w:shd w:val="clear" w:color="auto" w:fill="auto"/>
            <w:vAlign w:val="center"/>
          </w:tcPr>
          <w:p w14:paraId="7F214603"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-3.06%</w:t>
            </w:r>
          </w:p>
        </w:tc>
      </w:tr>
      <w:tr w:rsidR="00E71D59" w14:paraId="22BB135D" w14:textId="77777777">
        <w:trPr>
          <w:trHeight w:val="423"/>
        </w:trPr>
        <w:tc>
          <w:tcPr>
            <w:tcW w:w="1476" w:type="dxa"/>
            <w:tcBorders>
              <w:top w:val="nil"/>
              <w:left w:val="single" w:sz="8" w:space="0" w:color="000000"/>
              <w:bottom w:val="single" w:sz="8" w:space="0" w:color="000000"/>
              <w:right w:val="single" w:sz="8" w:space="0" w:color="000000"/>
            </w:tcBorders>
            <w:shd w:val="clear" w:color="auto" w:fill="auto"/>
            <w:vAlign w:val="center"/>
          </w:tcPr>
          <w:p w14:paraId="07E98272"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销售费用</w:t>
            </w:r>
          </w:p>
        </w:tc>
        <w:tc>
          <w:tcPr>
            <w:tcW w:w="2700" w:type="dxa"/>
            <w:tcBorders>
              <w:top w:val="nil"/>
              <w:left w:val="nil"/>
              <w:bottom w:val="single" w:sz="8" w:space="0" w:color="000000"/>
              <w:right w:val="single" w:sz="8" w:space="0" w:color="000000"/>
            </w:tcBorders>
            <w:shd w:val="clear" w:color="auto" w:fill="auto"/>
            <w:vAlign w:val="center"/>
          </w:tcPr>
          <w:p w14:paraId="243E006B"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42,074,766.70</w:t>
            </w:r>
          </w:p>
        </w:tc>
        <w:tc>
          <w:tcPr>
            <w:tcW w:w="2820" w:type="dxa"/>
            <w:tcBorders>
              <w:top w:val="nil"/>
              <w:left w:val="nil"/>
              <w:bottom w:val="single" w:sz="8" w:space="0" w:color="000000"/>
              <w:right w:val="single" w:sz="8" w:space="0" w:color="000000"/>
            </w:tcBorders>
            <w:shd w:val="clear" w:color="auto" w:fill="auto"/>
            <w:vAlign w:val="center"/>
          </w:tcPr>
          <w:p w14:paraId="79A2DAC4"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64,275,856.38</w:t>
            </w:r>
          </w:p>
        </w:tc>
        <w:tc>
          <w:tcPr>
            <w:tcW w:w="2148" w:type="dxa"/>
            <w:tcBorders>
              <w:top w:val="nil"/>
              <w:left w:val="nil"/>
              <w:bottom w:val="single" w:sz="8" w:space="0" w:color="000000"/>
              <w:right w:val="single" w:sz="8" w:space="0" w:color="000000"/>
            </w:tcBorders>
            <w:shd w:val="clear" w:color="auto" w:fill="auto"/>
            <w:vAlign w:val="center"/>
          </w:tcPr>
          <w:p w14:paraId="77AF7F7F"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-34.54%</w:t>
            </w:r>
          </w:p>
        </w:tc>
      </w:tr>
      <w:tr w:rsidR="00E71D59" w14:paraId="67F5E181" w14:textId="77777777">
        <w:trPr>
          <w:trHeight w:val="423"/>
        </w:trPr>
        <w:tc>
          <w:tcPr>
            <w:tcW w:w="1476" w:type="dxa"/>
            <w:tcBorders>
              <w:top w:val="nil"/>
              <w:left w:val="single" w:sz="8" w:space="0" w:color="000000"/>
              <w:bottom w:val="single" w:sz="8" w:space="0" w:color="000000"/>
              <w:right w:val="single" w:sz="8" w:space="0" w:color="000000"/>
            </w:tcBorders>
            <w:shd w:val="clear" w:color="auto" w:fill="auto"/>
            <w:vAlign w:val="center"/>
          </w:tcPr>
          <w:p w14:paraId="7DE2A3BC"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管理费用</w:t>
            </w:r>
          </w:p>
        </w:tc>
        <w:tc>
          <w:tcPr>
            <w:tcW w:w="2700" w:type="dxa"/>
            <w:tcBorders>
              <w:top w:val="nil"/>
              <w:left w:val="nil"/>
              <w:bottom w:val="single" w:sz="8" w:space="0" w:color="000000"/>
              <w:right w:val="single" w:sz="8" w:space="0" w:color="000000"/>
            </w:tcBorders>
            <w:shd w:val="clear" w:color="auto" w:fill="auto"/>
            <w:vAlign w:val="center"/>
          </w:tcPr>
          <w:p w14:paraId="7AB0520A"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111,778,162.34</w:t>
            </w:r>
          </w:p>
        </w:tc>
        <w:tc>
          <w:tcPr>
            <w:tcW w:w="2820" w:type="dxa"/>
            <w:tcBorders>
              <w:top w:val="nil"/>
              <w:left w:val="nil"/>
              <w:bottom w:val="single" w:sz="8" w:space="0" w:color="000000"/>
              <w:right w:val="single" w:sz="8" w:space="0" w:color="000000"/>
            </w:tcBorders>
            <w:shd w:val="clear" w:color="auto" w:fill="auto"/>
            <w:vAlign w:val="center"/>
          </w:tcPr>
          <w:p w14:paraId="59483574"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29,782,309.85</w:t>
            </w:r>
          </w:p>
        </w:tc>
        <w:tc>
          <w:tcPr>
            <w:tcW w:w="2148" w:type="dxa"/>
            <w:tcBorders>
              <w:top w:val="nil"/>
              <w:left w:val="nil"/>
              <w:bottom w:val="single" w:sz="8" w:space="0" w:color="000000"/>
              <w:right w:val="single" w:sz="8" w:space="0" w:color="000000"/>
            </w:tcBorders>
            <w:shd w:val="clear" w:color="auto" w:fill="auto"/>
            <w:vAlign w:val="center"/>
          </w:tcPr>
          <w:p w14:paraId="42378BAA"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275.32%</w:t>
            </w:r>
          </w:p>
        </w:tc>
      </w:tr>
      <w:tr w:rsidR="00E71D59" w14:paraId="67144B07" w14:textId="77777777">
        <w:trPr>
          <w:trHeight w:val="423"/>
        </w:trPr>
        <w:tc>
          <w:tcPr>
            <w:tcW w:w="1476" w:type="dxa"/>
            <w:tcBorders>
              <w:top w:val="nil"/>
              <w:left w:val="single" w:sz="8" w:space="0" w:color="000000"/>
              <w:bottom w:val="single" w:sz="8" w:space="0" w:color="000000"/>
              <w:right w:val="single" w:sz="8" w:space="0" w:color="000000"/>
            </w:tcBorders>
            <w:shd w:val="clear" w:color="auto" w:fill="auto"/>
            <w:vAlign w:val="center"/>
          </w:tcPr>
          <w:p w14:paraId="5ED90F84"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财务费用</w:t>
            </w:r>
          </w:p>
        </w:tc>
        <w:tc>
          <w:tcPr>
            <w:tcW w:w="2700" w:type="dxa"/>
            <w:tcBorders>
              <w:top w:val="nil"/>
              <w:left w:val="nil"/>
              <w:bottom w:val="single" w:sz="8" w:space="0" w:color="000000"/>
              <w:right w:val="single" w:sz="8" w:space="0" w:color="000000"/>
            </w:tcBorders>
            <w:shd w:val="clear" w:color="auto" w:fill="auto"/>
            <w:vAlign w:val="center"/>
          </w:tcPr>
          <w:p w14:paraId="48352C3F"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18,974,283.03</w:t>
            </w:r>
          </w:p>
        </w:tc>
        <w:tc>
          <w:tcPr>
            <w:tcW w:w="2820" w:type="dxa"/>
            <w:tcBorders>
              <w:top w:val="nil"/>
              <w:left w:val="nil"/>
              <w:bottom w:val="single" w:sz="8" w:space="0" w:color="000000"/>
              <w:right w:val="single" w:sz="8" w:space="0" w:color="000000"/>
            </w:tcBorders>
            <w:shd w:val="clear" w:color="auto" w:fill="auto"/>
            <w:vAlign w:val="center"/>
          </w:tcPr>
          <w:p w14:paraId="3AEF38F1"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32,048,020.46</w:t>
            </w:r>
          </w:p>
        </w:tc>
        <w:tc>
          <w:tcPr>
            <w:tcW w:w="2148" w:type="dxa"/>
            <w:tcBorders>
              <w:top w:val="nil"/>
              <w:left w:val="nil"/>
              <w:bottom w:val="single" w:sz="8" w:space="0" w:color="000000"/>
              <w:right w:val="single" w:sz="8" w:space="0" w:color="000000"/>
            </w:tcBorders>
            <w:shd w:val="clear" w:color="auto" w:fill="auto"/>
            <w:vAlign w:val="center"/>
          </w:tcPr>
          <w:p w14:paraId="0668370B"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-40.79%</w:t>
            </w:r>
          </w:p>
        </w:tc>
      </w:tr>
      <w:tr w:rsidR="00E71D59" w14:paraId="3A2016D0" w14:textId="77777777">
        <w:trPr>
          <w:trHeight w:val="423"/>
        </w:trPr>
        <w:tc>
          <w:tcPr>
            <w:tcW w:w="1476" w:type="dxa"/>
            <w:tcBorders>
              <w:top w:val="nil"/>
              <w:left w:val="single" w:sz="8" w:space="0" w:color="000000"/>
              <w:bottom w:val="single" w:sz="8" w:space="0" w:color="000000"/>
              <w:right w:val="single" w:sz="8" w:space="0" w:color="000000"/>
            </w:tcBorders>
            <w:shd w:val="clear" w:color="auto" w:fill="auto"/>
            <w:vAlign w:val="center"/>
          </w:tcPr>
          <w:p w14:paraId="108F47ED"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营业利润</w:t>
            </w:r>
          </w:p>
        </w:tc>
        <w:tc>
          <w:tcPr>
            <w:tcW w:w="2700" w:type="dxa"/>
            <w:tcBorders>
              <w:top w:val="nil"/>
              <w:left w:val="nil"/>
              <w:bottom w:val="single" w:sz="8" w:space="0" w:color="000000"/>
              <w:right w:val="single" w:sz="8" w:space="0" w:color="000000"/>
            </w:tcBorders>
            <w:shd w:val="clear" w:color="auto" w:fill="auto"/>
            <w:vAlign w:val="center"/>
          </w:tcPr>
          <w:p w14:paraId="63C716A7"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-99,846,726.74</w:t>
            </w:r>
          </w:p>
        </w:tc>
        <w:tc>
          <w:tcPr>
            <w:tcW w:w="2820" w:type="dxa"/>
            <w:tcBorders>
              <w:top w:val="nil"/>
              <w:left w:val="nil"/>
              <w:bottom w:val="single" w:sz="8" w:space="0" w:color="000000"/>
              <w:right w:val="single" w:sz="8" w:space="0" w:color="000000"/>
            </w:tcBorders>
            <w:shd w:val="clear" w:color="auto" w:fill="auto"/>
            <w:vAlign w:val="center"/>
          </w:tcPr>
          <w:p w14:paraId="67BCF06A"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136,416,365.53</w:t>
            </w:r>
          </w:p>
        </w:tc>
        <w:tc>
          <w:tcPr>
            <w:tcW w:w="2148" w:type="dxa"/>
            <w:tcBorders>
              <w:top w:val="nil"/>
              <w:left w:val="nil"/>
              <w:bottom w:val="single" w:sz="8" w:space="0" w:color="000000"/>
              <w:right w:val="single" w:sz="8" w:space="0" w:color="000000"/>
            </w:tcBorders>
            <w:shd w:val="clear" w:color="auto" w:fill="auto"/>
            <w:vAlign w:val="center"/>
          </w:tcPr>
          <w:p w14:paraId="565FF3FD"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-173.19%</w:t>
            </w:r>
          </w:p>
        </w:tc>
      </w:tr>
      <w:tr w:rsidR="00E71D59" w14:paraId="2847D0A0" w14:textId="77777777">
        <w:trPr>
          <w:trHeight w:val="423"/>
        </w:trPr>
        <w:tc>
          <w:tcPr>
            <w:tcW w:w="1476" w:type="dxa"/>
            <w:tcBorders>
              <w:top w:val="nil"/>
              <w:left w:val="single" w:sz="8" w:space="0" w:color="000000"/>
              <w:bottom w:val="single" w:sz="8" w:space="0" w:color="000000"/>
              <w:right w:val="single" w:sz="8" w:space="0" w:color="000000"/>
            </w:tcBorders>
            <w:shd w:val="clear" w:color="auto" w:fill="auto"/>
            <w:vAlign w:val="center"/>
          </w:tcPr>
          <w:p w14:paraId="7C180499"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投资收益</w:t>
            </w:r>
          </w:p>
        </w:tc>
        <w:tc>
          <w:tcPr>
            <w:tcW w:w="2700" w:type="dxa"/>
            <w:tcBorders>
              <w:top w:val="nil"/>
              <w:left w:val="nil"/>
              <w:bottom w:val="single" w:sz="8" w:space="0" w:color="000000"/>
              <w:right w:val="single" w:sz="8" w:space="0" w:color="000000"/>
            </w:tcBorders>
            <w:shd w:val="clear" w:color="auto" w:fill="auto"/>
            <w:vAlign w:val="center"/>
          </w:tcPr>
          <w:p w14:paraId="40755605"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0.00</w:t>
            </w:r>
          </w:p>
        </w:tc>
        <w:tc>
          <w:tcPr>
            <w:tcW w:w="2820" w:type="dxa"/>
            <w:tcBorders>
              <w:top w:val="nil"/>
              <w:left w:val="nil"/>
              <w:bottom w:val="single" w:sz="8" w:space="0" w:color="000000"/>
              <w:right w:val="single" w:sz="8" w:space="0" w:color="000000"/>
            </w:tcBorders>
            <w:shd w:val="clear" w:color="auto" w:fill="auto"/>
            <w:vAlign w:val="center"/>
          </w:tcPr>
          <w:p w14:paraId="7071E225" w14:textId="77777777" w:rsidR="00E71D59" w:rsidRDefault="00E71D59">
            <w:pPr>
              <w:jc w:val="right"/>
              <w:rPr>
                <w:rFonts w:ascii="宋体" w:eastAsia="宋体" w:hAnsi="宋体" w:cs="宋体"/>
                <w:color w:val="000000"/>
                <w:sz w:val="22"/>
                <w:szCs w:val="22"/>
              </w:rPr>
            </w:pPr>
          </w:p>
        </w:tc>
        <w:tc>
          <w:tcPr>
            <w:tcW w:w="2148" w:type="dxa"/>
            <w:tcBorders>
              <w:top w:val="nil"/>
              <w:left w:val="nil"/>
              <w:bottom w:val="single" w:sz="8" w:space="0" w:color="000000"/>
              <w:right w:val="single" w:sz="8" w:space="0" w:color="000000"/>
            </w:tcBorders>
            <w:shd w:val="clear" w:color="auto" w:fill="auto"/>
            <w:vAlign w:val="center"/>
          </w:tcPr>
          <w:p w14:paraId="5BFD8799" w14:textId="77777777" w:rsidR="00E71D59" w:rsidRDefault="00E71D59">
            <w:pPr>
              <w:jc w:val="right"/>
              <w:rPr>
                <w:rFonts w:ascii="宋体" w:eastAsia="宋体" w:hAnsi="宋体" w:cs="宋体"/>
                <w:color w:val="000000"/>
                <w:sz w:val="22"/>
                <w:szCs w:val="22"/>
              </w:rPr>
            </w:pPr>
          </w:p>
        </w:tc>
      </w:tr>
      <w:tr w:rsidR="00E71D59" w14:paraId="0E32CD50" w14:textId="77777777">
        <w:trPr>
          <w:trHeight w:val="423"/>
        </w:trPr>
        <w:tc>
          <w:tcPr>
            <w:tcW w:w="1476" w:type="dxa"/>
            <w:tcBorders>
              <w:top w:val="nil"/>
              <w:left w:val="single" w:sz="8" w:space="0" w:color="000000"/>
              <w:bottom w:val="single" w:sz="8" w:space="0" w:color="000000"/>
              <w:right w:val="single" w:sz="8" w:space="0" w:color="000000"/>
            </w:tcBorders>
            <w:shd w:val="clear" w:color="auto" w:fill="auto"/>
            <w:vAlign w:val="center"/>
          </w:tcPr>
          <w:p w14:paraId="661B4E02"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营业外收支</w:t>
            </w:r>
          </w:p>
        </w:tc>
        <w:tc>
          <w:tcPr>
            <w:tcW w:w="2700" w:type="dxa"/>
            <w:tcBorders>
              <w:top w:val="nil"/>
              <w:left w:val="nil"/>
              <w:bottom w:val="single" w:sz="8" w:space="0" w:color="000000"/>
              <w:right w:val="single" w:sz="8" w:space="0" w:color="000000"/>
            </w:tcBorders>
            <w:shd w:val="clear" w:color="auto" w:fill="auto"/>
            <w:vAlign w:val="center"/>
          </w:tcPr>
          <w:p w14:paraId="408C924C"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28,841,637.05</w:t>
            </w:r>
          </w:p>
        </w:tc>
        <w:tc>
          <w:tcPr>
            <w:tcW w:w="2820" w:type="dxa"/>
            <w:tcBorders>
              <w:top w:val="nil"/>
              <w:left w:val="nil"/>
              <w:bottom w:val="single" w:sz="8" w:space="0" w:color="000000"/>
              <w:right w:val="single" w:sz="8" w:space="0" w:color="000000"/>
            </w:tcBorders>
            <w:shd w:val="clear" w:color="auto" w:fill="auto"/>
            <w:vAlign w:val="center"/>
          </w:tcPr>
          <w:p w14:paraId="6BD532D7"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5,588,328.20</w:t>
            </w:r>
          </w:p>
        </w:tc>
        <w:tc>
          <w:tcPr>
            <w:tcW w:w="2148" w:type="dxa"/>
            <w:tcBorders>
              <w:top w:val="nil"/>
              <w:left w:val="nil"/>
              <w:bottom w:val="single" w:sz="8" w:space="0" w:color="000000"/>
              <w:right w:val="single" w:sz="8" w:space="0" w:color="000000"/>
            </w:tcBorders>
            <w:shd w:val="clear" w:color="auto" w:fill="auto"/>
            <w:vAlign w:val="center"/>
          </w:tcPr>
          <w:p w14:paraId="6D0C5C03"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416.10%</w:t>
            </w:r>
          </w:p>
        </w:tc>
      </w:tr>
      <w:tr w:rsidR="00E71D59" w14:paraId="552BDF43" w14:textId="77777777">
        <w:trPr>
          <w:trHeight w:val="423"/>
        </w:trPr>
        <w:tc>
          <w:tcPr>
            <w:tcW w:w="1476" w:type="dxa"/>
            <w:tcBorders>
              <w:top w:val="nil"/>
              <w:left w:val="single" w:sz="8" w:space="0" w:color="000000"/>
              <w:bottom w:val="single" w:sz="8" w:space="0" w:color="000000"/>
              <w:right w:val="single" w:sz="8" w:space="0" w:color="000000"/>
            </w:tcBorders>
            <w:shd w:val="clear" w:color="auto" w:fill="auto"/>
            <w:vAlign w:val="center"/>
          </w:tcPr>
          <w:p w14:paraId="4DFB3108"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利润总额</w:t>
            </w:r>
          </w:p>
        </w:tc>
        <w:tc>
          <w:tcPr>
            <w:tcW w:w="2700" w:type="dxa"/>
            <w:tcBorders>
              <w:top w:val="nil"/>
              <w:left w:val="nil"/>
              <w:bottom w:val="single" w:sz="8" w:space="0" w:color="000000"/>
              <w:right w:val="single" w:sz="8" w:space="0" w:color="000000"/>
            </w:tcBorders>
            <w:shd w:val="clear" w:color="auto" w:fill="auto"/>
            <w:vAlign w:val="center"/>
          </w:tcPr>
          <w:p w14:paraId="3894D7DF"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-99,317,155.44</w:t>
            </w:r>
          </w:p>
        </w:tc>
        <w:tc>
          <w:tcPr>
            <w:tcW w:w="2820" w:type="dxa"/>
            <w:tcBorders>
              <w:top w:val="nil"/>
              <w:left w:val="nil"/>
              <w:bottom w:val="single" w:sz="8" w:space="0" w:color="000000"/>
              <w:right w:val="single" w:sz="8" w:space="0" w:color="000000"/>
            </w:tcBorders>
            <w:shd w:val="clear" w:color="auto" w:fill="auto"/>
            <w:vAlign w:val="center"/>
          </w:tcPr>
          <w:p w14:paraId="412A694B"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131,971,359.26</w:t>
            </w:r>
          </w:p>
        </w:tc>
        <w:tc>
          <w:tcPr>
            <w:tcW w:w="2148" w:type="dxa"/>
            <w:tcBorders>
              <w:top w:val="nil"/>
              <w:left w:val="nil"/>
              <w:bottom w:val="single" w:sz="8" w:space="0" w:color="000000"/>
              <w:right w:val="single" w:sz="8" w:space="0" w:color="000000"/>
            </w:tcBorders>
            <w:shd w:val="clear" w:color="auto" w:fill="auto"/>
            <w:vAlign w:val="center"/>
          </w:tcPr>
          <w:p w14:paraId="13162F93"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-175.26%</w:t>
            </w:r>
          </w:p>
        </w:tc>
      </w:tr>
      <w:tr w:rsidR="00E71D59" w14:paraId="0EB56CAE" w14:textId="77777777">
        <w:trPr>
          <w:trHeight w:val="303"/>
        </w:trPr>
        <w:tc>
          <w:tcPr>
            <w:tcW w:w="1476" w:type="dxa"/>
            <w:tcBorders>
              <w:top w:val="nil"/>
              <w:left w:val="single" w:sz="8" w:space="0" w:color="000000"/>
              <w:bottom w:val="single" w:sz="8" w:space="0" w:color="000000"/>
              <w:right w:val="single" w:sz="8" w:space="0" w:color="000000"/>
            </w:tcBorders>
            <w:shd w:val="clear" w:color="auto" w:fill="auto"/>
            <w:vAlign w:val="center"/>
          </w:tcPr>
          <w:p w14:paraId="0F20E469"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税费总额</w:t>
            </w:r>
          </w:p>
        </w:tc>
        <w:tc>
          <w:tcPr>
            <w:tcW w:w="2700" w:type="dxa"/>
            <w:tcBorders>
              <w:top w:val="nil"/>
              <w:left w:val="nil"/>
              <w:bottom w:val="single" w:sz="8" w:space="0" w:color="000000"/>
              <w:right w:val="single" w:sz="8" w:space="0" w:color="000000"/>
            </w:tcBorders>
            <w:shd w:val="clear" w:color="auto" w:fill="auto"/>
            <w:vAlign w:val="center"/>
          </w:tcPr>
          <w:p w14:paraId="7BE7462A"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35,537,969.80</w:t>
            </w:r>
          </w:p>
        </w:tc>
        <w:tc>
          <w:tcPr>
            <w:tcW w:w="2820" w:type="dxa"/>
            <w:tcBorders>
              <w:top w:val="nil"/>
              <w:left w:val="nil"/>
              <w:bottom w:val="single" w:sz="8" w:space="0" w:color="000000"/>
              <w:right w:val="single" w:sz="8" w:space="0" w:color="000000"/>
            </w:tcBorders>
            <w:shd w:val="clear" w:color="auto" w:fill="auto"/>
            <w:vAlign w:val="center"/>
          </w:tcPr>
          <w:p w14:paraId="727BB809" w14:textId="77777777" w:rsidR="00E71D59" w:rsidRDefault="00E71D59">
            <w:pPr>
              <w:jc w:val="right"/>
              <w:rPr>
                <w:rFonts w:ascii="宋体" w:eastAsia="宋体" w:hAnsi="宋体" w:cs="宋体"/>
                <w:color w:val="000000"/>
                <w:sz w:val="22"/>
                <w:szCs w:val="22"/>
              </w:rPr>
            </w:pPr>
          </w:p>
        </w:tc>
        <w:tc>
          <w:tcPr>
            <w:tcW w:w="2148" w:type="dxa"/>
            <w:tcBorders>
              <w:top w:val="nil"/>
              <w:left w:val="nil"/>
              <w:bottom w:val="single" w:sz="8" w:space="0" w:color="000000"/>
              <w:right w:val="single" w:sz="8" w:space="0" w:color="000000"/>
            </w:tcBorders>
            <w:shd w:val="clear" w:color="auto" w:fill="auto"/>
            <w:vAlign w:val="center"/>
          </w:tcPr>
          <w:p w14:paraId="0F501800"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#DIV/0!</w:t>
            </w:r>
          </w:p>
        </w:tc>
      </w:tr>
      <w:tr w:rsidR="00E71D59" w14:paraId="438E3B74" w14:textId="77777777">
        <w:trPr>
          <w:trHeight w:val="303"/>
        </w:trPr>
        <w:tc>
          <w:tcPr>
            <w:tcW w:w="1476" w:type="dxa"/>
            <w:tcBorders>
              <w:top w:val="nil"/>
              <w:left w:val="single" w:sz="8" w:space="0" w:color="000000"/>
              <w:bottom w:val="single" w:sz="8" w:space="0" w:color="000000"/>
              <w:right w:val="single" w:sz="8" w:space="0" w:color="000000"/>
            </w:tcBorders>
            <w:shd w:val="clear" w:color="auto" w:fill="auto"/>
            <w:vAlign w:val="center"/>
          </w:tcPr>
          <w:p w14:paraId="6116F6EC"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净利润</w:t>
            </w:r>
          </w:p>
        </w:tc>
        <w:tc>
          <w:tcPr>
            <w:tcW w:w="2700" w:type="dxa"/>
            <w:tcBorders>
              <w:top w:val="nil"/>
              <w:left w:val="nil"/>
              <w:bottom w:val="single" w:sz="8" w:space="0" w:color="000000"/>
              <w:right w:val="single" w:sz="8" w:space="0" w:color="000000"/>
            </w:tcBorders>
            <w:shd w:val="clear" w:color="auto" w:fill="auto"/>
            <w:vAlign w:val="center"/>
          </w:tcPr>
          <w:p w14:paraId="490B9FEA"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-98,197,490.77</w:t>
            </w:r>
          </w:p>
        </w:tc>
        <w:tc>
          <w:tcPr>
            <w:tcW w:w="2820" w:type="dxa"/>
            <w:tcBorders>
              <w:top w:val="nil"/>
              <w:left w:val="nil"/>
              <w:bottom w:val="single" w:sz="8" w:space="0" w:color="000000"/>
              <w:right w:val="single" w:sz="8" w:space="0" w:color="000000"/>
            </w:tcBorders>
            <w:shd w:val="clear" w:color="auto" w:fill="auto"/>
            <w:vAlign w:val="center"/>
          </w:tcPr>
          <w:p w14:paraId="5E02A83A"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98,578,539.05</w:t>
            </w:r>
          </w:p>
        </w:tc>
        <w:tc>
          <w:tcPr>
            <w:tcW w:w="2148" w:type="dxa"/>
            <w:tcBorders>
              <w:top w:val="nil"/>
              <w:left w:val="nil"/>
              <w:bottom w:val="single" w:sz="8" w:space="0" w:color="000000"/>
              <w:right w:val="single" w:sz="8" w:space="0" w:color="000000"/>
            </w:tcBorders>
            <w:shd w:val="clear" w:color="auto" w:fill="auto"/>
            <w:vAlign w:val="center"/>
          </w:tcPr>
          <w:p w14:paraId="26FC9935"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-199.61%</w:t>
            </w:r>
          </w:p>
        </w:tc>
      </w:tr>
      <w:tr w:rsidR="00E71D59" w14:paraId="13B6D4FB" w14:textId="77777777">
        <w:trPr>
          <w:trHeight w:val="303"/>
        </w:trPr>
        <w:tc>
          <w:tcPr>
            <w:tcW w:w="1476" w:type="dxa"/>
            <w:tcBorders>
              <w:top w:val="nil"/>
              <w:left w:val="single" w:sz="8" w:space="0" w:color="000000"/>
              <w:bottom w:val="single" w:sz="8" w:space="0" w:color="000000"/>
              <w:right w:val="single" w:sz="8" w:space="0" w:color="000000"/>
            </w:tcBorders>
            <w:shd w:val="clear" w:color="auto" w:fill="auto"/>
            <w:vAlign w:val="center"/>
          </w:tcPr>
          <w:p w14:paraId="428BA9A2"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营业利润率</w:t>
            </w:r>
          </w:p>
        </w:tc>
        <w:tc>
          <w:tcPr>
            <w:tcW w:w="2700" w:type="dxa"/>
            <w:tcBorders>
              <w:top w:val="nil"/>
              <w:left w:val="nil"/>
              <w:bottom w:val="single" w:sz="8" w:space="0" w:color="000000"/>
              <w:right w:val="single" w:sz="8" w:space="0" w:color="000000"/>
            </w:tcBorders>
            <w:shd w:val="clear" w:color="auto" w:fill="auto"/>
            <w:vAlign w:val="center"/>
          </w:tcPr>
          <w:p w14:paraId="02F77330"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-3.90%</w:t>
            </w:r>
          </w:p>
        </w:tc>
        <w:tc>
          <w:tcPr>
            <w:tcW w:w="2820" w:type="dxa"/>
            <w:tcBorders>
              <w:top w:val="nil"/>
              <w:left w:val="nil"/>
              <w:bottom w:val="single" w:sz="8" w:space="0" w:color="000000"/>
              <w:right w:val="single" w:sz="8" w:space="0" w:color="000000"/>
            </w:tcBorders>
            <w:shd w:val="clear" w:color="auto" w:fill="auto"/>
            <w:vAlign w:val="center"/>
          </w:tcPr>
          <w:p w14:paraId="6A0AA8EA"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4.97%</w:t>
            </w:r>
          </w:p>
        </w:tc>
        <w:tc>
          <w:tcPr>
            <w:tcW w:w="2148" w:type="dxa"/>
            <w:tcBorders>
              <w:top w:val="nil"/>
              <w:left w:val="nil"/>
              <w:bottom w:val="single" w:sz="8" w:space="0" w:color="000000"/>
              <w:right w:val="single" w:sz="8" w:space="0" w:color="000000"/>
            </w:tcBorders>
            <w:shd w:val="clear" w:color="auto" w:fill="auto"/>
            <w:vAlign w:val="center"/>
          </w:tcPr>
          <w:p w14:paraId="35FF06DB"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-178.47%</w:t>
            </w:r>
          </w:p>
        </w:tc>
      </w:tr>
      <w:tr w:rsidR="00E71D59" w14:paraId="5F0CB4F4" w14:textId="77777777">
        <w:trPr>
          <w:trHeight w:val="303"/>
        </w:trPr>
        <w:tc>
          <w:tcPr>
            <w:tcW w:w="1476" w:type="dxa"/>
            <w:tcBorders>
              <w:top w:val="nil"/>
              <w:left w:val="single" w:sz="8" w:space="0" w:color="000000"/>
              <w:bottom w:val="single" w:sz="8" w:space="0" w:color="000000"/>
              <w:right w:val="single" w:sz="8" w:space="0" w:color="000000"/>
            </w:tcBorders>
            <w:shd w:val="clear" w:color="auto" w:fill="auto"/>
            <w:vAlign w:val="center"/>
          </w:tcPr>
          <w:p w14:paraId="6815575B"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净资产收益率</w:t>
            </w:r>
          </w:p>
        </w:tc>
        <w:tc>
          <w:tcPr>
            <w:tcW w:w="2700" w:type="dxa"/>
            <w:tcBorders>
              <w:top w:val="nil"/>
              <w:left w:val="nil"/>
              <w:bottom w:val="single" w:sz="8" w:space="0" w:color="000000"/>
              <w:right w:val="single" w:sz="8" w:space="0" w:color="000000"/>
            </w:tcBorders>
            <w:shd w:val="clear" w:color="auto" w:fill="auto"/>
            <w:vAlign w:val="center"/>
          </w:tcPr>
          <w:p w14:paraId="15C5246A"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-30.93%</w:t>
            </w:r>
          </w:p>
        </w:tc>
        <w:tc>
          <w:tcPr>
            <w:tcW w:w="2820" w:type="dxa"/>
            <w:tcBorders>
              <w:top w:val="nil"/>
              <w:left w:val="nil"/>
              <w:bottom w:val="single" w:sz="8" w:space="0" w:color="000000"/>
              <w:right w:val="single" w:sz="8" w:space="0" w:color="000000"/>
            </w:tcBorders>
            <w:shd w:val="clear" w:color="auto" w:fill="auto"/>
            <w:vAlign w:val="center"/>
          </w:tcPr>
          <w:p w14:paraId="4712AEA1"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30.86%</w:t>
            </w:r>
          </w:p>
        </w:tc>
        <w:tc>
          <w:tcPr>
            <w:tcW w:w="2148" w:type="dxa"/>
            <w:tcBorders>
              <w:top w:val="nil"/>
              <w:left w:val="nil"/>
              <w:bottom w:val="single" w:sz="8" w:space="0" w:color="000000"/>
              <w:right w:val="single" w:sz="8" w:space="0" w:color="000000"/>
            </w:tcBorders>
            <w:shd w:val="clear" w:color="auto" w:fill="auto"/>
            <w:vAlign w:val="center"/>
          </w:tcPr>
          <w:p w14:paraId="32C23234"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-200.23%</w:t>
            </w:r>
          </w:p>
        </w:tc>
      </w:tr>
      <w:tr w:rsidR="00E71D59" w14:paraId="78B8C462" w14:textId="77777777">
        <w:trPr>
          <w:trHeight w:val="303"/>
        </w:trPr>
        <w:tc>
          <w:tcPr>
            <w:tcW w:w="1476" w:type="dxa"/>
            <w:tcBorders>
              <w:top w:val="nil"/>
              <w:left w:val="single" w:sz="8" w:space="0" w:color="000000"/>
              <w:bottom w:val="single" w:sz="8" w:space="0" w:color="000000"/>
              <w:right w:val="single" w:sz="8" w:space="0" w:color="000000"/>
            </w:tcBorders>
            <w:shd w:val="clear" w:color="auto" w:fill="auto"/>
            <w:vAlign w:val="center"/>
          </w:tcPr>
          <w:p w14:paraId="0586DA19" w14:textId="77777777" w:rsidR="00E71D59" w:rsidRDefault="0017239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主要指标</w:t>
            </w:r>
          </w:p>
        </w:tc>
        <w:tc>
          <w:tcPr>
            <w:tcW w:w="2700" w:type="dxa"/>
            <w:tcBorders>
              <w:top w:val="nil"/>
              <w:left w:val="nil"/>
              <w:bottom w:val="single" w:sz="8" w:space="0" w:color="000000"/>
              <w:right w:val="single" w:sz="8" w:space="0" w:color="000000"/>
            </w:tcBorders>
            <w:shd w:val="clear" w:color="auto" w:fill="auto"/>
            <w:vAlign w:val="center"/>
          </w:tcPr>
          <w:p w14:paraId="2169A250" w14:textId="77777777" w:rsidR="00E71D59" w:rsidRDefault="0017239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期末金额（元）</w:t>
            </w:r>
          </w:p>
        </w:tc>
        <w:tc>
          <w:tcPr>
            <w:tcW w:w="2820" w:type="dxa"/>
            <w:tcBorders>
              <w:top w:val="nil"/>
              <w:left w:val="nil"/>
              <w:bottom w:val="single" w:sz="8" w:space="0" w:color="000000"/>
              <w:right w:val="single" w:sz="8" w:space="0" w:color="000000"/>
            </w:tcBorders>
            <w:shd w:val="clear" w:color="auto" w:fill="auto"/>
            <w:vAlign w:val="center"/>
          </w:tcPr>
          <w:p w14:paraId="6C849780" w14:textId="77777777" w:rsidR="00E71D59" w:rsidRDefault="0017239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年初金额（元）</w:t>
            </w:r>
          </w:p>
        </w:tc>
        <w:tc>
          <w:tcPr>
            <w:tcW w:w="2148" w:type="dxa"/>
            <w:tcBorders>
              <w:top w:val="nil"/>
              <w:left w:val="nil"/>
              <w:bottom w:val="single" w:sz="8" w:space="0" w:color="000000"/>
              <w:right w:val="single" w:sz="8" w:space="0" w:color="000000"/>
            </w:tcBorders>
            <w:shd w:val="clear" w:color="auto" w:fill="auto"/>
            <w:vAlign w:val="center"/>
          </w:tcPr>
          <w:p w14:paraId="35B4EB6F" w14:textId="77777777" w:rsidR="00E71D59" w:rsidRDefault="0017239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变动比例（</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w:t>
            </w:r>
          </w:p>
        </w:tc>
      </w:tr>
      <w:tr w:rsidR="00E71D59" w14:paraId="0F2C9F7B" w14:textId="77777777">
        <w:trPr>
          <w:trHeight w:val="303"/>
        </w:trPr>
        <w:tc>
          <w:tcPr>
            <w:tcW w:w="1476" w:type="dxa"/>
            <w:tcBorders>
              <w:top w:val="nil"/>
              <w:left w:val="single" w:sz="8" w:space="0" w:color="000000"/>
              <w:bottom w:val="single" w:sz="8" w:space="0" w:color="000000"/>
              <w:right w:val="single" w:sz="8" w:space="0" w:color="000000"/>
            </w:tcBorders>
            <w:shd w:val="clear" w:color="auto" w:fill="auto"/>
            <w:vAlign w:val="center"/>
          </w:tcPr>
          <w:p w14:paraId="6352D33E"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资产总额</w:t>
            </w:r>
          </w:p>
        </w:tc>
        <w:tc>
          <w:tcPr>
            <w:tcW w:w="2700" w:type="dxa"/>
            <w:tcBorders>
              <w:top w:val="nil"/>
              <w:left w:val="nil"/>
              <w:bottom w:val="single" w:sz="8" w:space="0" w:color="000000"/>
              <w:right w:val="single" w:sz="8" w:space="0" w:color="000000"/>
            </w:tcBorders>
            <w:shd w:val="clear" w:color="auto" w:fill="auto"/>
            <w:vAlign w:val="center"/>
          </w:tcPr>
          <w:p w14:paraId="7B7EE43C"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701,118,897.17</w:t>
            </w:r>
          </w:p>
        </w:tc>
        <w:tc>
          <w:tcPr>
            <w:tcW w:w="2820" w:type="dxa"/>
            <w:tcBorders>
              <w:top w:val="nil"/>
              <w:left w:val="nil"/>
              <w:bottom w:val="single" w:sz="8" w:space="0" w:color="000000"/>
              <w:right w:val="single" w:sz="8" w:space="0" w:color="000000"/>
            </w:tcBorders>
            <w:shd w:val="clear" w:color="auto" w:fill="auto"/>
            <w:vAlign w:val="center"/>
          </w:tcPr>
          <w:p w14:paraId="4E06D585"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847,445.00</w:t>
            </w:r>
          </w:p>
        </w:tc>
        <w:tc>
          <w:tcPr>
            <w:tcW w:w="2148" w:type="dxa"/>
            <w:tcBorders>
              <w:top w:val="nil"/>
              <w:left w:val="nil"/>
              <w:bottom w:val="single" w:sz="8" w:space="0" w:color="000000"/>
              <w:right w:val="single" w:sz="8" w:space="0" w:color="000000"/>
            </w:tcBorders>
            <w:shd w:val="clear" w:color="auto" w:fill="auto"/>
            <w:vAlign w:val="center"/>
          </w:tcPr>
          <w:p w14:paraId="773A35BE"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3.37%</w:t>
            </w:r>
          </w:p>
        </w:tc>
      </w:tr>
      <w:tr w:rsidR="00E71D59" w14:paraId="269955D7" w14:textId="77777777">
        <w:trPr>
          <w:trHeight w:val="303"/>
        </w:trPr>
        <w:tc>
          <w:tcPr>
            <w:tcW w:w="1476" w:type="dxa"/>
            <w:tcBorders>
              <w:top w:val="nil"/>
              <w:left w:val="single" w:sz="8" w:space="0" w:color="000000"/>
              <w:bottom w:val="single" w:sz="8" w:space="0" w:color="000000"/>
              <w:right w:val="single" w:sz="8" w:space="0" w:color="000000"/>
            </w:tcBorders>
            <w:shd w:val="clear" w:color="auto" w:fill="auto"/>
            <w:vAlign w:val="center"/>
          </w:tcPr>
          <w:p w14:paraId="3DEEE310"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负债总额</w:t>
            </w:r>
          </w:p>
        </w:tc>
        <w:tc>
          <w:tcPr>
            <w:tcW w:w="2700" w:type="dxa"/>
            <w:tcBorders>
              <w:top w:val="nil"/>
              <w:left w:val="nil"/>
              <w:bottom w:val="single" w:sz="8" w:space="0" w:color="000000"/>
              <w:right w:val="single" w:sz="8" w:space="0" w:color="000000"/>
            </w:tcBorders>
            <w:shd w:val="clear" w:color="auto" w:fill="auto"/>
            <w:vAlign w:val="center"/>
          </w:tcPr>
          <w:p w14:paraId="1089AB31"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383,633,402.28</w:t>
            </w:r>
          </w:p>
        </w:tc>
        <w:tc>
          <w:tcPr>
            <w:tcW w:w="2820" w:type="dxa"/>
            <w:tcBorders>
              <w:top w:val="nil"/>
              <w:left w:val="nil"/>
              <w:bottom w:val="single" w:sz="8" w:space="0" w:color="000000"/>
              <w:right w:val="single" w:sz="8" w:space="0" w:color="000000"/>
            </w:tcBorders>
            <w:shd w:val="clear" w:color="auto" w:fill="auto"/>
            <w:vAlign w:val="center"/>
          </w:tcPr>
          <w:p w14:paraId="0C792A21"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421,747,236.50</w:t>
            </w:r>
          </w:p>
        </w:tc>
        <w:tc>
          <w:tcPr>
            <w:tcW w:w="2148" w:type="dxa"/>
            <w:tcBorders>
              <w:top w:val="nil"/>
              <w:left w:val="nil"/>
              <w:bottom w:val="single" w:sz="8" w:space="0" w:color="000000"/>
              <w:right w:val="single" w:sz="8" w:space="0" w:color="000000"/>
            </w:tcBorders>
            <w:shd w:val="clear" w:color="auto" w:fill="auto"/>
            <w:vAlign w:val="center"/>
          </w:tcPr>
          <w:p w14:paraId="1F51F7BA"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14.18%</w:t>
            </w:r>
          </w:p>
        </w:tc>
      </w:tr>
      <w:tr w:rsidR="00E71D59" w14:paraId="304D3463" w14:textId="77777777">
        <w:trPr>
          <w:trHeight w:val="303"/>
        </w:trPr>
        <w:tc>
          <w:tcPr>
            <w:tcW w:w="1476" w:type="dxa"/>
            <w:tcBorders>
              <w:top w:val="nil"/>
              <w:left w:val="single" w:sz="8" w:space="0" w:color="000000"/>
              <w:bottom w:val="single" w:sz="8" w:space="0" w:color="000000"/>
              <w:right w:val="single" w:sz="8" w:space="0" w:color="000000"/>
            </w:tcBorders>
            <w:shd w:val="clear" w:color="auto" w:fill="auto"/>
            <w:vAlign w:val="center"/>
          </w:tcPr>
          <w:p w14:paraId="637EE694" w14:textId="77777777" w:rsidR="00E71D59" w:rsidRDefault="0017239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所有者权益</w:t>
            </w:r>
          </w:p>
        </w:tc>
        <w:tc>
          <w:tcPr>
            <w:tcW w:w="2700" w:type="dxa"/>
            <w:tcBorders>
              <w:top w:val="nil"/>
              <w:left w:val="nil"/>
              <w:bottom w:val="single" w:sz="8" w:space="0" w:color="000000"/>
              <w:right w:val="single" w:sz="8" w:space="0" w:color="000000"/>
            </w:tcBorders>
            <w:shd w:val="clear" w:color="auto" w:fill="auto"/>
            <w:vAlign w:val="center"/>
          </w:tcPr>
          <w:p w14:paraId="1660B4ED"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317,485,494.89</w:t>
            </w:r>
          </w:p>
        </w:tc>
        <w:tc>
          <w:tcPr>
            <w:tcW w:w="2820" w:type="dxa"/>
            <w:tcBorders>
              <w:top w:val="nil"/>
              <w:left w:val="nil"/>
              <w:bottom w:val="single" w:sz="8" w:space="0" w:color="000000"/>
              <w:right w:val="single" w:sz="8" w:space="0" w:color="000000"/>
            </w:tcBorders>
            <w:shd w:val="clear" w:color="auto" w:fill="auto"/>
            <w:vAlign w:val="center"/>
          </w:tcPr>
          <w:p w14:paraId="1709B6ED"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847,445,230.90</w:t>
            </w:r>
          </w:p>
        </w:tc>
        <w:tc>
          <w:tcPr>
            <w:tcW w:w="2148" w:type="dxa"/>
            <w:tcBorders>
              <w:top w:val="nil"/>
              <w:left w:val="nil"/>
              <w:bottom w:val="single" w:sz="8" w:space="0" w:color="000000"/>
              <w:right w:val="single" w:sz="8" w:space="0" w:color="000000"/>
            </w:tcBorders>
            <w:shd w:val="clear" w:color="auto" w:fill="auto"/>
            <w:vAlign w:val="center"/>
          </w:tcPr>
          <w:p w14:paraId="6ABB58DE" w14:textId="77777777" w:rsidR="00E71D59" w:rsidRDefault="0017239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-3.98%</w:t>
            </w:r>
          </w:p>
        </w:tc>
      </w:tr>
    </w:tbl>
    <w:p w14:paraId="1CDF777C" w14:textId="77777777" w:rsidR="00E71D59" w:rsidRDefault="00E71D59">
      <w:pPr>
        <w:adjustRightInd w:val="0"/>
        <w:snapToGrid w:val="0"/>
        <w:spacing w:line="540" w:lineRule="exact"/>
        <w:rPr>
          <w:rFonts w:ascii="仿宋_GB2312" w:eastAsia="仿宋_GB2312" w:cs="黑体"/>
          <w:sz w:val="32"/>
          <w:szCs w:val="32"/>
        </w:rPr>
      </w:pPr>
    </w:p>
    <w:p w14:paraId="43F78865" w14:textId="77777777" w:rsidR="00E71D59" w:rsidRDefault="0017239E">
      <w:pPr>
        <w:adjustRightInd w:val="0"/>
        <w:snapToGrid w:val="0"/>
        <w:spacing w:line="540" w:lineRule="exact"/>
        <w:ind w:firstLineChars="200" w:firstLine="640"/>
        <w:rPr>
          <w:rFonts w:ascii="仿宋_GB2312" w:eastAsia="仿宋_GB2312" w:cs="黑体"/>
          <w:sz w:val="32"/>
          <w:szCs w:val="32"/>
        </w:rPr>
      </w:pPr>
      <w:r>
        <w:rPr>
          <w:rFonts w:ascii="仿宋_GB2312" w:eastAsia="仿宋_GB2312" w:cs="黑体" w:hint="eastAsia"/>
          <w:sz w:val="32"/>
          <w:szCs w:val="32"/>
        </w:rPr>
        <w:t>2.</w:t>
      </w:r>
      <w:r>
        <w:rPr>
          <w:rFonts w:ascii="仿宋_GB2312" w:eastAsia="仿宋_GB2312" w:cs="黑体" w:hint="eastAsia"/>
          <w:sz w:val="32"/>
          <w:szCs w:val="32"/>
        </w:rPr>
        <w:t>同泰公司</w:t>
      </w:r>
      <w:r>
        <w:rPr>
          <w:rFonts w:ascii="仿宋_GB2312" w:eastAsia="仿宋_GB2312" w:cs="黑体" w:hint="eastAsia"/>
          <w:sz w:val="32"/>
          <w:szCs w:val="32"/>
        </w:rPr>
        <w:t>2020</w:t>
      </w:r>
      <w:r>
        <w:rPr>
          <w:rFonts w:ascii="仿宋_GB2312" w:eastAsia="仿宋_GB2312" w:cs="黑体" w:hint="eastAsia"/>
          <w:sz w:val="32"/>
          <w:szCs w:val="32"/>
        </w:rPr>
        <w:t>年度无重要会计政策变更、重要会计估计变更、前期会计差错更正事项。</w:t>
      </w:r>
    </w:p>
    <w:p w14:paraId="0A3854F3" w14:textId="77777777" w:rsidR="00E71D59" w:rsidRDefault="0017239E">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三、董事会报告摘要</w:t>
      </w:r>
    </w:p>
    <w:p w14:paraId="2E1FA1FB" w14:textId="77777777" w:rsidR="00E71D59" w:rsidRDefault="0017239E">
      <w:pPr>
        <w:adjustRightInd w:val="0"/>
        <w:snapToGrid w:val="0"/>
        <w:spacing w:line="540" w:lineRule="exact"/>
        <w:ind w:firstLineChars="200" w:firstLine="643"/>
        <w:rPr>
          <w:rFonts w:ascii="仿宋_GB2312" w:eastAsia="仿宋_GB2312" w:hAnsi="Calibri" w:cs="仿宋_GB2312"/>
          <w:kern w:val="0"/>
          <w:sz w:val="32"/>
          <w:szCs w:val="32"/>
          <w:lang w:bidi="ar"/>
        </w:rPr>
      </w:pPr>
      <w:r>
        <w:rPr>
          <w:rFonts w:ascii="楷体_GB2312" w:eastAsia="楷体_GB2312" w:hAnsi="Calibri" w:cs="楷体_GB2312" w:hint="eastAsia"/>
          <w:b/>
          <w:color w:val="000000"/>
          <w:kern w:val="0"/>
          <w:sz w:val="32"/>
          <w:szCs w:val="32"/>
          <w:lang w:bidi="ar"/>
        </w:rPr>
        <w:t>（一）组织建设情况。</w:t>
      </w:r>
      <w:r>
        <w:rPr>
          <w:rFonts w:ascii="仿宋_GB2312" w:eastAsia="仿宋_GB2312" w:hAnsi="Calibri" w:cs="仿宋_GB2312" w:hint="eastAsia"/>
          <w:color w:val="000000"/>
          <w:kern w:val="0"/>
          <w:sz w:val="32"/>
          <w:szCs w:val="32"/>
          <w:lang w:bidi="ar"/>
        </w:rPr>
        <w:t>按照《公司章程》规定，同泰董事会由</w:t>
      </w:r>
      <w:r>
        <w:rPr>
          <w:rFonts w:ascii="仿宋_GB2312" w:eastAsia="仿宋_GB2312" w:hAnsi="Calibri" w:cs="仿宋_GB2312" w:hint="eastAsia"/>
          <w:color w:val="000000"/>
          <w:kern w:val="0"/>
          <w:sz w:val="32"/>
          <w:szCs w:val="32"/>
          <w:lang w:bidi="ar"/>
        </w:rPr>
        <w:t>9</w:t>
      </w:r>
      <w:r>
        <w:rPr>
          <w:rFonts w:ascii="仿宋_GB2312" w:eastAsia="仿宋_GB2312" w:hAnsi="Calibri" w:cs="仿宋_GB2312" w:hint="eastAsia"/>
          <w:color w:val="000000"/>
          <w:kern w:val="0"/>
          <w:sz w:val="32"/>
          <w:szCs w:val="32"/>
          <w:lang w:bidi="ar"/>
        </w:rPr>
        <w:t>名董事组成。其中，由枣庄矿业（集团）有限责任公司推荐</w:t>
      </w:r>
      <w:r>
        <w:rPr>
          <w:rFonts w:ascii="仿宋_GB2312" w:eastAsia="仿宋_GB2312" w:hAnsi="Calibri" w:cs="仿宋_GB2312" w:hint="eastAsia"/>
          <w:color w:val="000000"/>
          <w:kern w:val="0"/>
          <w:sz w:val="32"/>
          <w:szCs w:val="32"/>
          <w:lang w:bidi="ar"/>
        </w:rPr>
        <w:t>3</w:t>
      </w:r>
      <w:r>
        <w:rPr>
          <w:rFonts w:ascii="仿宋_GB2312" w:eastAsia="仿宋_GB2312" w:hAnsi="Calibri" w:cs="仿宋_GB2312" w:hint="eastAsia"/>
          <w:color w:val="000000"/>
          <w:kern w:val="0"/>
          <w:sz w:val="32"/>
          <w:szCs w:val="32"/>
          <w:lang w:bidi="ar"/>
        </w:rPr>
        <w:t>人，盛隆化工有限公司推荐</w:t>
      </w:r>
      <w:r>
        <w:rPr>
          <w:rFonts w:ascii="仿宋_GB2312" w:eastAsia="仿宋_GB2312" w:hAnsi="Calibri" w:cs="仿宋_GB2312" w:hint="eastAsia"/>
          <w:color w:val="000000"/>
          <w:kern w:val="0"/>
          <w:sz w:val="32"/>
          <w:szCs w:val="32"/>
          <w:lang w:bidi="ar"/>
        </w:rPr>
        <w:t>3</w:t>
      </w:r>
      <w:r>
        <w:rPr>
          <w:rFonts w:ascii="仿宋_GB2312" w:eastAsia="仿宋_GB2312" w:hAnsi="Calibri" w:cs="仿宋_GB2312" w:hint="eastAsia"/>
          <w:color w:val="000000"/>
          <w:kern w:val="0"/>
          <w:sz w:val="32"/>
          <w:szCs w:val="32"/>
          <w:lang w:bidi="ar"/>
        </w:rPr>
        <w:t>人、山东鲁路公路工程有限公司推荐</w:t>
      </w:r>
      <w:r>
        <w:rPr>
          <w:rFonts w:ascii="仿宋_GB2312" w:eastAsia="仿宋_GB2312" w:hAnsi="Calibri" w:cs="仿宋_GB2312" w:hint="eastAsia"/>
          <w:color w:val="000000"/>
          <w:kern w:val="0"/>
          <w:sz w:val="32"/>
          <w:szCs w:val="32"/>
          <w:lang w:bidi="ar"/>
        </w:rPr>
        <w:t>1</w:t>
      </w:r>
      <w:r>
        <w:rPr>
          <w:rFonts w:ascii="仿宋_GB2312" w:eastAsia="仿宋_GB2312" w:hAnsi="Calibri" w:cs="仿宋_GB2312" w:hint="eastAsia"/>
          <w:color w:val="000000"/>
          <w:kern w:val="0"/>
          <w:sz w:val="32"/>
          <w:szCs w:val="32"/>
          <w:lang w:bidi="ar"/>
        </w:rPr>
        <w:t>人、微山县昊鑫贸易有限公司推荐</w:t>
      </w:r>
      <w:r>
        <w:rPr>
          <w:rFonts w:ascii="仿宋_GB2312" w:eastAsia="仿宋_GB2312" w:hAnsi="Calibri" w:cs="仿宋_GB2312" w:hint="eastAsia"/>
          <w:color w:val="000000"/>
          <w:kern w:val="0"/>
          <w:sz w:val="32"/>
          <w:szCs w:val="32"/>
          <w:lang w:bidi="ar"/>
        </w:rPr>
        <w:t>1</w:t>
      </w:r>
      <w:r>
        <w:rPr>
          <w:rFonts w:ascii="仿宋_GB2312" w:eastAsia="仿宋_GB2312" w:hAnsi="Calibri" w:cs="仿宋_GB2312" w:hint="eastAsia"/>
          <w:color w:val="000000"/>
          <w:kern w:val="0"/>
          <w:sz w:val="32"/>
          <w:szCs w:val="32"/>
          <w:lang w:bidi="ar"/>
        </w:rPr>
        <w:t>人，职工董事</w:t>
      </w:r>
      <w:r>
        <w:rPr>
          <w:rFonts w:ascii="仿宋_GB2312" w:eastAsia="仿宋_GB2312" w:hAnsi="Calibri" w:cs="仿宋_GB2312" w:hint="eastAsia"/>
          <w:color w:val="000000"/>
          <w:kern w:val="0"/>
          <w:sz w:val="32"/>
          <w:szCs w:val="32"/>
          <w:lang w:bidi="ar"/>
        </w:rPr>
        <w:t>1</w:t>
      </w:r>
      <w:r>
        <w:rPr>
          <w:rFonts w:ascii="仿宋_GB2312" w:eastAsia="仿宋_GB2312" w:hAnsi="Calibri" w:cs="仿宋_GB2312" w:hint="eastAsia"/>
          <w:color w:val="000000"/>
          <w:kern w:val="0"/>
          <w:sz w:val="32"/>
          <w:szCs w:val="32"/>
          <w:lang w:bidi="ar"/>
        </w:rPr>
        <w:t>人，其任职经股东会会议通过。</w:t>
      </w:r>
    </w:p>
    <w:p w14:paraId="0E95DA67" w14:textId="77777777" w:rsidR="00E71D59" w:rsidRDefault="0017239E">
      <w:pPr>
        <w:adjustRightInd w:val="0"/>
        <w:snapToGrid w:val="0"/>
        <w:spacing w:line="540" w:lineRule="exact"/>
        <w:ind w:firstLineChars="200" w:firstLine="643"/>
        <w:rPr>
          <w:rFonts w:ascii="仿宋_GB2312" w:eastAsia="仿宋_GB2312" w:hAnsi="Calibri" w:cs="仿宋_GB2312"/>
          <w:kern w:val="0"/>
          <w:sz w:val="32"/>
          <w:szCs w:val="32"/>
          <w:lang w:bidi="ar"/>
        </w:rPr>
      </w:pPr>
      <w:r>
        <w:rPr>
          <w:rFonts w:ascii="楷体_GB2312" w:eastAsia="楷体_GB2312" w:hAnsi="Calibri" w:cs="楷体_GB2312" w:hint="eastAsia"/>
          <w:b/>
          <w:color w:val="000000"/>
          <w:kern w:val="0"/>
          <w:sz w:val="32"/>
          <w:szCs w:val="32"/>
          <w:lang w:bidi="ar"/>
        </w:rPr>
        <w:t>（二）制度建设情况。</w:t>
      </w:r>
      <w:r>
        <w:rPr>
          <w:rFonts w:ascii="仿宋_GB2312" w:eastAsia="仿宋_GB2312" w:hAnsi="Calibri" w:cs="仿宋_GB2312" w:hint="eastAsia"/>
          <w:kern w:val="0"/>
          <w:sz w:val="32"/>
          <w:szCs w:val="32"/>
          <w:lang w:bidi="ar"/>
        </w:rPr>
        <w:t>同泰公司董事会各项制度健全完善，并严格按照《公司章程》《董事会议事规则》等相关文件要求召开董事会。为规范董事会运作，制订出台《关于进一步规范“三重一大”事项决策流程的通知》，</w:t>
      </w:r>
      <w:r>
        <w:rPr>
          <w:rFonts w:ascii="仿宋_GB2312" w:eastAsia="仿宋_GB2312" w:hAnsi="仿宋_GB2312" w:cs="仿宋_GB2312" w:hint="eastAsia"/>
          <w:sz w:val="32"/>
          <w:szCs w:val="32"/>
        </w:rPr>
        <w:t>明确</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“三重一大”事项决策范围，理顺</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决策流程，提高</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决策水平，防范</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决策风险，</w:t>
      </w:r>
      <w:r>
        <w:rPr>
          <w:rFonts w:ascii="仿宋_GB2312" w:eastAsia="仿宋_GB2312" w:hAnsi="仿宋_GB2312" w:cs="仿宋_GB2312" w:hint="eastAsia"/>
          <w:sz w:val="32"/>
          <w:szCs w:val="32"/>
        </w:rPr>
        <w:t>有效</w:t>
      </w:r>
      <w:r>
        <w:rPr>
          <w:rFonts w:ascii="仿宋_GB2312" w:eastAsia="仿宋_GB2312" w:hAnsi="Calibri" w:cs="仿宋_GB2312" w:hint="eastAsia"/>
          <w:kern w:val="0"/>
          <w:sz w:val="32"/>
          <w:szCs w:val="32"/>
          <w:lang w:bidi="ar"/>
        </w:rPr>
        <w:t>保障了股东权益。</w:t>
      </w:r>
    </w:p>
    <w:p w14:paraId="25E84815" w14:textId="77777777" w:rsidR="00E71D59" w:rsidRDefault="0017239E">
      <w:pPr>
        <w:ind w:firstLineChars="200" w:firstLine="643"/>
        <w:rPr>
          <w:rFonts w:ascii="仿宋_GB2312" w:eastAsia="仿宋_GB2312" w:hAnsi="Calibri" w:cs="仿宋_GB2312"/>
          <w:kern w:val="0"/>
          <w:sz w:val="32"/>
          <w:szCs w:val="32"/>
          <w:lang w:bidi="ar"/>
        </w:rPr>
      </w:pPr>
      <w:r>
        <w:rPr>
          <w:rFonts w:ascii="楷体_GB2312" w:eastAsia="楷体_GB2312" w:hAnsi="Calibri" w:cs="楷体_GB2312" w:hint="eastAsia"/>
          <w:b/>
          <w:color w:val="000000"/>
          <w:kern w:val="0"/>
          <w:sz w:val="32"/>
          <w:szCs w:val="32"/>
          <w:lang w:bidi="ar"/>
        </w:rPr>
        <w:t>（三）董事会运作情况。</w:t>
      </w:r>
      <w:r>
        <w:rPr>
          <w:rFonts w:ascii="仿宋_GB2312" w:eastAsia="仿宋_GB2312" w:hAnsi="Calibri" w:cs="仿宋_GB2312" w:hint="eastAsia"/>
          <w:kern w:val="0"/>
          <w:sz w:val="32"/>
          <w:szCs w:val="32"/>
          <w:lang w:bidi="ar"/>
        </w:rPr>
        <w:t>2020</w:t>
      </w:r>
      <w:r>
        <w:rPr>
          <w:rFonts w:ascii="仿宋_GB2312" w:eastAsia="仿宋_GB2312" w:hAnsi="Calibri" w:cs="仿宋_GB2312" w:hint="eastAsia"/>
          <w:kern w:val="0"/>
          <w:sz w:val="32"/>
          <w:szCs w:val="32"/>
          <w:lang w:bidi="ar"/>
        </w:rPr>
        <w:t>年集团公司董事会严格按照《公司法》《公司章程》以及集团公司要求，规范运作、科学决策，持续提升企业管控能力。董事会会议召开情况。</w:t>
      </w:r>
      <w:r>
        <w:rPr>
          <w:rFonts w:ascii="仿宋_GB2312" w:eastAsia="仿宋_GB2312" w:hAnsi="Calibri" w:cs="仿宋_GB2312" w:hint="eastAsia"/>
          <w:kern w:val="0"/>
          <w:sz w:val="32"/>
          <w:szCs w:val="32"/>
          <w:lang w:bidi="ar"/>
        </w:rPr>
        <w:t>2020</w:t>
      </w:r>
      <w:r>
        <w:rPr>
          <w:rFonts w:ascii="仿宋_GB2312" w:eastAsia="仿宋_GB2312" w:hAnsi="Calibri" w:cs="仿宋_GB2312" w:hint="eastAsia"/>
          <w:kern w:val="0"/>
          <w:sz w:val="32"/>
          <w:szCs w:val="32"/>
          <w:lang w:bidi="ar"/>
        </w:rPr>
        <w:t>年</w:t>
      </w:r>
      <w:r>
        <w:rPr>
          <w:rFonts w:ascii="仿宋_GB2312" w:eastAsia="仿宋_GB2312" w:hAnsi="Calibri" w:cs="仿宋_GB2312" w:hint="eastAsia"/>
          <w:kern w:val="0"/>
          <w:sz w:val="32"/>
          <w:szCs w:val="32"/>
          <w:lang w:bidi="ar"/>
        </w:rPr>
        <w:t>6</w:t>
      </w:r>
      <w:r>
        <w:rPr>
          <w:rFonts w:ascii="仿宋_GB2312" w:eastAsia="仿宋_GB2312" w:hAnsi="Calibri" w:cs="仿宋_GB2312" w:hint="eastAsia"/>
          <w:kern w:val="0"/>
          <w:sz w:val="32"/>
          <w:szCs w:val="32"/>
          <w:lang w:bidi="ar"/>
        </w:rPr>
        <w:t>月</w:t>
      </w:r>
      <w:r>
        <w:rPr>
          <w:rFonts w:ascii="仿宋_GB2312" w:eastAsia="仿宋_GB2312" w:hAnsi="Calibri" w:cs="仿宋_GB2312" w:hint="eastAsia"/>
          <w:kern w:val="0"/>
          <w:sz w:val="32"/>
          <w:szCs w:val="32"/>
          <w:lang w:bidi="ar"/>
        </w:rPr>
        <w:t>10</w:t>
      </w:r>
      <w:r>
        <w:rPr>
          <w:rFonts w:ascii="仿宋_GB2312" w:eastAsia="仿宋_GB2312" w:hAnsi="Calibri" w:cs="仿宋_GB2312" w:hint="eastAsia"/>
          <w:kern w:val="0"/>
          <w:sz w:val="32"/>
          <w:szCs w:val="32"/>
          <w:lang w:bidi="ar"/>
        </w:rPr>
        <w:t>日在山东同泰能化有限公司会议室召开了临时董事会议，周强主持会议。董事会推举周强为公司董事长、法定代表人；免去朱波公司董事长、法定代表人职务。</w:t>
      </w:r>
    </w:p>
    <w:p w14:paraId="5B221CFA" w14:textId="77777777" w:rsidR="00E71D59" w:rsidRDefault="0017239E">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四、审计报告摘要</w:t>
      </w:r>
    </w:p>
    <w:p w14:paraId="46BE8A5F" w14:textId="77777777" w:rsidR="00E71D59" w:rsidRDefault="0017239E">
      <w:pPr>
        <w:ind w:firstLineChars="200" w:firstLine="640"/>
        <w:rPr>
          <w:rFonts w:ascii="仿宋_GB2312" w:eastAsia="仿宋_GB2312" w:hAnsi="仿宋_GB2312" w:cs="仿宋_GB2312"/>
          <w:sz w:val="32"/>
          <w:szCs w:val="32"/>
        </w:rPr>
      </w:pPr>
      <w:r>
        <w:rPr>
          <w:rFonts w:ascii="仿宋_GB2312" w:eastAsia="仿宋_GB2312" w:hint="eastAsia"/>
          <w:sz w:val="32"/>
          <w:szCs w:val="30"/>
        </w:rPr>
        <w:t>中天运会计师事务所（特殊普通合伙）审计我公司财</w:t>
      </w:r>
      <w:r>
        <w:rPr>
          <w:rFonts w:ascii="仿宋_GB2312" w:eastAsia="仿宋_GB2312" w:hAnsi="仿宋_GB2312" w:cs="仿宋_GB2312" w:hint="eastAsia"/>
          <w:sz w:val="32"/>
          <w:szCs w:val="32"/>
        </w:rPr>
        <w:t>务报表，包括</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日公司资产负债表，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年度合并及母公司利润表、现金流量表、所有者权益变动表以及相关财务报表附注后，认为财务报表在所有重大方面按照企业会计准则的规定编制，公允反映了我公司</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日财务状况以及</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年度经营成果和现金流量，出具了标准无保留意见审计报告。</w:t>
      </w:r>
    </w:p>
    <w:p w14:paraId="16CF3967" w14:textId="77777777" w:rsidR="00E71D59" w:rsidRDefault="0017239E">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五、董事会、监事会成员以及其他高级管理人员薪酬情况</w:t>
      </w:r>
    </w:p>
    <w:p w14:paraId="26D9E48F" w14:textId="77777777" w:rsidR="00E71D59" w:rsidRDefault="0017239E">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报告期内在企业领取薪酬的全体董事、监事及其他高级管理人员实际获得的税后报酬。</w:t>
      </w:r>
    </w:p>
    <w:tbl>
      <w:tblPr>
        <w:tblStyle w:val="a9"/>
        <w:tblW w:w="8425" w:type="dxa"/>
        <w:jc w:val="center"/>
        <w:tblLayout w:type="fixed"/>
        <w:tblLook w:val="04A0" w:firstRow="1" w:lastRow="0" w:firstColumn="1" w:lastColumn="0" w:noHBand="0" w:noVBand="1"/>
      </w:tblPr>
      <w:tblGrid>
        <w:gridCol w:w="1309"/>
        <w:gridCol w:w="3418"/>
        <w:gridCol w:w="1664"/>
        <w:gridCol w:w="2034"/>
      </w:tblGrid>
      <w:tr w:rsidR="00E71D59" w14:paraId="7DBD2B32" w14:textId="77777777">
        <w:trPr>
          <w:jc w:val="center"/>
        </w:trPr>
        <w:tc>
          <w:tcPr>
            <w:tcW w:w="1309" w:type="dxa"/>
            <w:vAlign w:val="center"/>
          </w:tcPr>
          <w:p w14:paraId="10220803" w14:textId="77777777" w:rsidR="00E71D59" w:rsidRDefault="0017239E">
            <w:pPr>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姓名</w:t>
            </w:r>
          </w:p>
        </w:tc>
        <w:tc>
          <w:tcPr>
            <w:tcW w:w="3418" w:type="dxa"/>
            <w:vAlign w:val="center"/>
          </w:tcPr>
          <w:p w14:paraId="049A0833" w14:textId="77777777" w:rsidR="00E71D59" w:rsidRDefault="0017239E">
            <w:pPr>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职务</w:t>
            </w:r>
          </w:p>
        </w:tc>
        <w:tc>
          <w:tcPr>
            <w:tcW w:w="1664" w:type="dxa"/>
            <w:vAlign w:val="center"/>
          </w:tcPr>
          <w:p w14:paraId="24394D58" w14:textId="77777777" w:rsidR="00E71D59" w:rsidRDefault="0017239E">
            <w:pPr>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2020</w:t>
            </w:r>
            <w:r>
              <w:rPr>
                <w:rFonts w:asciiTheme="majorEastAsia" w:eastAsiaTheme="majorEastAsia" w:hAnsiTheme="majorEastAsia" w:cstheme="majorEastAsia" w:hint="eastAsia"/>
                <w:sz w:val="22"/>
                <w:szCs w:val="22"/>
              </w:rPr>
              <w:t>年薪酬（税后，万元）</w:t>
            </w:r>
          </w:p>
        </w:tc>
        <w:tc>
          <w:tcPr>
            <w:tcW w:w="2034" w:type="dxa"/>
            <w:vAlign w:val="center"/>
          </w:tcPr>
          <w:p w14:paraId="4558E104" w14:textId="77777777" w:rsidR="00E71D59" w:rsidRDefault="0017239E">
            <w:pPr>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备注</w:t>
            </w:r>
          </w:p>
        </w:tc>
      </w:tr>
      <w:tr w:rsidR="00E71D59" w14:paraId="5E6758F2" w14:textId="77777777">
        <w:trPr>
          <w:trHeight w:val="471"/>
          <w:jc w:val="center"/>
        </w:trPr>
        <w:tc>
          <w:tcPr>
            <w:tcW w:w="1309" w:type="dxa"/>
            <w:vAlign w:val="center"/>
          </w:tcPr>
          <w:p w14:paraId="5D2F07B6" w14:textId="77777777" w:rsidR="00E71D59" w:rsidRDefault="0017239E">
            <w:pPr>
              <w:widowControl/>
              <w:jc w:val="center"/>
              <w:textAlignment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color w:val="000000"/>
                <w:kern w:val="0"/>
                <w:sz w:val="22"/>
                <w:szCs w:val="22"/>
                <w:lang w:bidi="ar"/>
              </w:rPr>
              <w:t>周强</w:t>
            </w:r>
          </w:p>
        </w:tc>
        <w:tc>
          <w:tcPr>
            <w:tcW w:w="3418" w:type="dxa"/>
            <w:vAlign w:val="center"/>
          </w:tcPr>
          <w:p w14:paraId="7047B658" w14:textId="77777777" w:rsidR="00E71D59" w:rsidRDefault="0017239E">
            <w:pPr>
              <w:spacing w:line="36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党委书记、董事长</w:t>
            </w:r>
          </w:p>
        </w:tc>
        <w:tc>
          <w:tcPr>
            <w:tcW w:w="1664" w:type="dxa"/>
            <w:vAlign w:val="center"/>
          </w:tcPr>
          <w:p w14:paraId="0A2B3706" w14:textId="77777777" w:rsidR="00E71D59" w:rsidRDefault="0017239E">
            <w:pPr>
              <w:widowControl/>
              <w:jc w:val="center"/>
              <w:textAlignment w:val="center"/>
              <w:rPr>
                <w:rFonts w:asciiTheme="majorEastAsia" w:eastAsiaTheme="majorEastAsia" w:hAnsiTheme="majorEastAsia" w:cstheme="majorEastAsia"/>
                <w:sz w:val="22"/>
                <w:szCs w:val="22"/>
              </w:rPr>
            </w:pPr>
            <w:r>
              <w:rPr>
                <w:rFonts w:ascii="宋体" w:eastAsia="宋体" w:hAnsi="宋体" w:cs="宋体" w:hint="eastAsia"/>
                <w:color w:val="000000"/>
                <w:kern w:val="0"/>
                <w:sz w:val="22"/>
                <w:szCs w:val="22"/>
                <w:lang w:bidi="ar"/>
              </w:rPr>
              <w:t>7.60</w:t>
            </w:r>
          </w:p>
        </w:tc>
        <w:tc>
          <w:tcPr>
            <w:tcW w:w="2034" w:type="dxa"/>
            <w:vAlign w:val="center"/>
          </w:tcPr>
          <w:p w14:paraId="36EA87C5" w14:textId="77777777" w:rsidR="00E71D59" w:rsidRDefault="00E71D59">
            <w:pPr>
              <w:widowControl/>
              <w:jc w:val="left"/>
              <w:textAlignment w:val="center"/>
              <w:rPr>
                <w:rFonts w:asciiTheme="majorEastAsia" w:eastAsiaTheme="majorEastAsia" w:hAnsiTheme="majorEastAsia" w:cstheme="majorEastAsia"/>
                <w:sz w:val="22"/>
                <w:szCs w:val="22"/>
              </w:rPr>
            </w:pPr>
          </w:p>
        </w:tc>
      </w:tr>
      <w:tr w:rsidR="00E71D59" w14:paraId="0ADAF217" w14:textId="77777777">
        <w:trPr>
          <w:trHeight w:val="575"/>
          <w:jc w:val="center"/>
        </w:trPr>
        <w:tc>
          <w:tcPr>
            <w:tcW w:w="1309" w:type="dxa"/>
            <w:vAlign w:val="center"/>
          </w:tcPr>
          <w:p w14:paraId="3DCC2796" w14:textId="77777777" w:rsidR="00E71D59" w:rsidRDefault="0017239E">
            <w:pPr>
              <w:widowControl/>
              <w:jc w:val="center"/>
              <w:textAlignment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color w:val="000000"/>
                <w:kern w:val="0"/>
                <w:sz w:val="22"/>
                <w:szCs w:val="22"/>
                <w:lang w:bidi="ar"/>
              </w:rPr>
              <w:t>吴浩</w:t>
            </w:r>
          </w:p>
        </w:tc>
        <w:tc>
          <w:tcPr>
            <w:tcW w:w="3418" w:type="dxa"/>
            <w:vAlign w:val="center"/>
          </w:tcPr>
          <w:p w14:paraId="5C178001" w14:textId="77777777" w:rsidR="00E71D59" w:rsidRDefault="0017239E">
            <w:pPr>
              <w:spacing w:line="36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副总经理、职工董事</w:t>
            </w:r>
          </w:p>
        </w:tc>
        <w:tc>
          <w:tcPr>
            <w:tcW w:w="1664" w:type="dxa"/>
            <w:vAlign w:val="center"/>
          </w:tcPr>
          <w:p w14:paraId="0C969064" w14:textId="77777777" w:rsidR="00E71D59" w:rsidRDefault="0017239E">
            <w:pPr>
              <w:widowControl/>
              <w:jc w:val="center"/>
              <w:textAlignment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23.14</w:t>
            </w:r>
          </w:p>
        </w:tc>
        <w:tc>
          <w:tcPr>
            <w:tcW w:w="2034" w:type="dxa"/>
            <w:vAlign w:val="center"/>
          </w:tcPr>
          <w:p w14:paraId="072E00A2" w14:textId="77777777" w:rsidR="00E71D59" w:rsidRDefault="00E71D59">
            <w:pPr>
              <w:spacing w:line="360" w:lineRule="exact"/>
              <w:jc w:val="left"/>
              <w:rPr>
                <w:rFonts w:asciiTheme="majorEastAsia" w:eastAsiaTheme="majorEastAsia" w:hAnsiTheme="majorEastAsia" w:cstheme="majorEastAsia"/>
                <w:sz w:val="22"/>
                <w:szCs w:val="22"/>
              </w:rPr>
            </w:pPr>
          </w:p>
        </w:tc>
      </w:tr>
      <w:tr w:rsidR="00E71D59" w14:paraId="1712A524" w14:textId="77777777">
        <w:trPr>
          <w:trHeight w:val="575"/>
          <w:jc w:val="center"/>
        </w:trPr>
        <w:tc>
          <w:tcPr>
            <w:tcW w:w="1309" w:type="dxa"/>
            <w:vAlign w:val="center"/>
          </w:tcPr>
          <w:p w14:paraId="0C86086B" w14:textId="77777777" w:rsidR="00E71D59" w:rsidRDefault="0017239E">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hint="eastAsia"/>
                <w:color w:val="000000"/>
                <w:kern w:val="0"/>
                <w:sz w:val="22"/>
                <w:szCs w:val="22"/>
                <w:lang w:bidi="ar"/>
              </w:rPr>
              <w:t>朱波</w:t>
            </w:r>
          </w:p>
        </w:tc>
        <w:tc>
          <w:tcPr>
            <w:tcW w:w="3418" w:type="dxa"/>
            <w:vAlign w:val="center"/>
          </w:tcPr>
          <w:p w14:paraId="0CFD9CDC" w14:textId="77777777" w:rsidR="00E71D59" w:rsidRDefault="0017239E">
            <w:pPr>
              <w:spacing w:line="36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原董事长、总经理</w:t>
            </w:r>
          </w:p>
        </w:tc>
        <w:tc>
          <w:tcPr>
            <w:tcW w:w="1664" w:type="dxa"/>
            <w:vAlign w:val="center"/>
          </w:tcPr>
          <w:p w14:paraId="787748EF" w14:textId="77777777" w:rsidR="00E71D59" w:rsidRDefault="0017239E">
            <w:pPr>
              <w:widowControl/>
              <w:jc w:val="center"/>
              <w:textAlignment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13.72</w:t>
            </w:r>
          </w:p>
        </w:tc>
        <w:tc>
          <w:tcPr>
            <w:tcW w:w="2034" w:type="dxa"/>
            <w:vAlign w:val="center"/>
          </w:tcPr>
          <w:p w14:paraId="1335EEB1" w14:textId="77777777" w:rsidR="00E71D59" w:rsidRDefault="00E71D59">
            <w:pPr>
              <w:spacing w:line="360" w:lineRule="exact"/>
              <w:jc w:val="left"/>
              <w:rPr>
                <w:rFonts w:asciiTheme="majorEastAsia" w:eastAsiaTheme="majorEastAsia" w:hAnsiTheme="majorEastAsia" w:cstheme="majorEastAsia"/>
                <w:sz w:val="22"/>
                <w:szCs w:val="22"/>
              </w:rPr>
            </w:pPr>
          </w:p>
        </w:tc>
      </w:tr>
      <w:tr w:rsidR="00E71D59" w14:paraId="4A47B785" w14:textId="77777777">
        <w:trPr>
          <w:trHeight w:val="575"/>
          <w:jc w:val="center"/>
        </w:trPr>
        <w:tc>
          <w:tcPr>
            <w:tcW w:w="1309" w:type="dxa"/>
            <w:vAlign w:val="center"/>
          </w:tcPr>
          <w:p w14:paraId="41560954" w14:textId="77777777" w:rsidR="00E71D59" w:rsidRDefault="0017239E">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hint="eastAsia"/>
                <w:color w:val="000000"/>
                <w:kern w:val="0"/>
                <w:sz w:val="22"/>
                <w:szCs w:val="22"/>
                <w:lang w:bidi="ar"/>
              </w:rPr>
              <w:t>吴忠祥</w:t>
            </w:r>
          </w:p>
        </w:tc>
        <w:tc>
          <w:tcPr>
            <w:tcW w:w="3418" w:type="dxa"/>
            <w:vAlign w:val="center"/>
          </w:tcPr>
          <w:p w14:paraId="1CB0BEA6" w14:textId="77777777" w:rsidR="00E71D59" w:rsidRDefault="0017239E">
            <w:pPr>
              <w:spacing w:line="36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董事、总经理助理</w:t>
            </w:r>
          </w:p>
        </w:tc>
        <w:tc>
          <w:tcPr>
            <w:tcW w:w="1664" w:type="dxa"/>
            <w:vAlign w:val="center"/>
          </w:tcPr>
          <w:p w14:paraId="438EA5B2" w14:textId="77777777" w:rsidR="00E71D59" w:rsidRDefault="0017239E">
            <w:pPr>
              <w:widowControl/>
              <w:jc w:val="center"/>
              <w:textAlignment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7.48</w:t>
            </w:r>
          </w:p>
        </w:tc>
        <w:tc>
          <w:tcPr>
            <w:tcW w:w="2034" w:type="dxa"/>
            <w:vAlign w:val="center"/>
          </w:tcPr>
          <w:p w14:paraId="52776AC4" w14:textId="77777777" w:rsidR="00E71D59" w:rsidRDefault="00E71D59">
            <w:pPr>
              <w:spacing w:line="360" w:lineRule="exact"/>
              <w:jc w:val="left"/>
              <w:rPr>
                <w:rFonts w:asciiTheme="majorEastAsia" w:eastAsiaTheme="majorEastAsia" w:hAnsiTheme="majorEastAsia" w:cstheme="majorEastAsia"/>
                <w:sz w:val="22"/>
                <w:szCs w:val="22"/>
              </w:rPr>
            </w:pPr>
          </w:p>
        </w:tc>
      </w:tr>
    </w:tbl>
    <w:p w14:paraId="3C584CBF"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年薪口径包括</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年每月实际发放基本年薪和预发绩效年薪，任职前及调离后在其他单位领取的收入，未予统计。</w:t>
      </w:r>
    </w:p>
    <w:p w14:paraId="228516A7"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党委书记、董事长周强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月到同泰任职，根据《山东能源集团出资企业负责人薪酬管理办法》等有关规定，自</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月起薪。</w:t>
      </w:r>
    </w:p>
    <w:p w14:paraId="66C2C148"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原党委书记、董事长朱波，</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月分在鑫泰项目部任职，根据《山东能源集团出资企业负责人薪酬管理办法》等有关规定，</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月份薪酬在同泰发放。</w:t>
      </w:r>
    </w:p>
    <w:p w14:paraId="587DE556" w14:textId="77777777" w:rsidR="00E71D59" w:rsidRDefault="0017239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六、年度内发生的重大事项及对企业的影响</w:t>
      </w:r>
    </w:p>
    <w:p w14:paraId="70D3E995" w14:textId="77777777" w:rsidR="00E71D59" w:rsidRDefault="0017239E">
      <w:pPr>
        <w:pStyle w:val="a8"/>
        <w:widowControl/>
        <w:wordWrap/>
        <w:adjustRightInd w:val="0"/>
        <w:snapToGrid w:val="0"/>
        <w:spacing w:line="540" w:lineRule="exact"/>
        <w:ind w:firstLineChars="200" w:firstLine="640"/>
        <w:jc w:val="both"/>
        <w:rPr>
          <w:rFonts w:ascii="仿宋_GB2312" w:eastAsia="仿宋_GB2312" w:hAnsi="仿宋_GB2312" w:cs="仿宋_GB2312"/>
          <w:sz w:val="32"/>
          <w:szCs w:val="40"/>
        </w:rPr>
      </w:pPr>
      <w:r>
        <w:rPr>
          <w:rFonts w:ascii="仿宋_GB2312" w:eastAsia="仿宋_GB2312" w:cs="黑体" w:hint="eastAsia"/>
          <w:sz w:val="32"/>
          <w:szCs w:val="32"/>
        </w:rPr>
        <w:t>年度重大财务事项。</w:t>
      </w:r>
      <w:r>
        <w:rPr>
          <w:rFonts w:ascii="仿宋_GB2312" w:eastAsia="仿宋_GB2312" w:hAnsi="仿宋_GB2312" w:cs="仿宋_GB2312" w:hint="eastAsia"/>
          <w:sz w:val="32"/>
          <w:szCs w:val="40"/>
        </w:rPr>
        <w:t>政策关停以来，同泰公司不再开展生产活动，主要以经营贸易为主，包括煤炭贸易、焦炭贸易、化产品贸易等。</w:t>
      </w:r>
    </w:p>
    <w:p w14:paraId="0CB4F510" w14:textId="77777777" w:rsidR="00E71D59" w:rsidRDefault="0017239E">
      <w:pPr>
        <w:pStyle w:val="a8"/>
        <w:widowControl/>
        <w:wordWrap/>
        <w:adjustRightInd w:val="0"/>
        <w:snapToGrid w:val="0"/>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年贸易实现总收入</w:t>
      </w:r>
      <w:r>
        <w:rPr>
          <w:rFonts w:ascii="仿宋_GB2312" w:eastAsia="仿宋_GB2312" w:hAnsi="仿宋_GB2312" w:cs="仿宋_GB2312" w:hint="eastAsia"/>
          <w:sz w:val="32"/>
          <w:szCs w:val="32"/>
        </w:rPr>
        <w:t>24.38</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，实现利润总额</w:t>
      </w:r>
      <w:r>
        <w:rPr>
          <w:rFonts w:ascii="仿宋_GB2312" w:eastAsia="仿宋_GB2312" w:hAnsi="仿宋_GB2312" w:cs="仿宋_GB2312" w:hint="eastAsia"/>
          <w:sz w:val="32"/>
          <w:szCs w:val="32"/>
        </w:rPr>
        <w:t>2048.08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全年考核目标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全年总体</w:t>
      </w:r>
      <w:r>
        <w:rPr>
          <w:rFonts w:ascii="仿宋_GB2312" w:eastAsia="仿宋_GB2312" w:hAnsi="仿宋_GB2312" w:cs="仿宋_GB2312" w:hint="eastAsia"/>
          <w:sz w:val="32"/>
          <w:szCs w:val="32"/>
        </w:rPr>
        <w:t>亏损</w:t>
      </w:r>
      <w:r>
        <w:rPr>
          <w:rFonts w:ascii="仿宋_GB2312" w:eastAsia="仿宋_GB2312" w:hAnsi="仿宋_GB2312" w:cs="仿宋_GB2312" w:hint="eastAsia"/>
          <w:sz w:val="32"/>
          <w:szCs w:val="32"/>
        </w:rPr>
        <w:t>9932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亏损主要原因是由于停产买断人员支付费用和固定资产计提累计折旧造成的。</w:t>
      </w:r>
      <w:r>
        <w:rPr>
          <w:rFonts w:ascii="仿宋_GB2312" w:eastAsia="仿宋_GB2312" w:hAnsi="仿宋_GB2312" w:cs="仿宋_GB2312" w:hint="eastAsia"/>
          <w:sz w:val="32"/>
          <w:szCs w:val="32"/>
        </w:rPr>
        <w:t>其中用于支付职工安置分流补偿</w:t>
      </w:r>
      <w:r>
        <w:rPr>
          <w:rFonts w:ascii="仿宋_GB2312" w:eastAsia="仿宋_GB2312" w:hAnsi="仿宋_GB2312" w:cs="仿宋_GB2312" w:hint="eastAsia"/>
          <w:sz w:val="32"/>
          <w:szCs w:val="32"/>
        </w:rPr>
        <w:t>4907.64</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元，全年计提固定资产折旧</w:t>
      </w:r>
      <w:r>
        <w:rPr>
          <w:rFonts w:ascii="仿宋_GB2312" w:eastAsia="仿宋_GB2312" w:hAnsi="仿宋_GB2312" w:cs="仿宋_GB2312" w:hint="eastAsia"/>
          <w:sz w:val="32"/>
          <w:szCs w:val="32"/>
        </w:rPr>
        <w:t>3996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计提坏账</w:t>
      </w:r>
      <w:r>
        <w:rPr>
          <w:rFonts w:ascii="仿宋_GB2312" w:eastAsia="仿宋_GB2312" w:hAnsi="仿宋_GB2312" w:cs="仿宋_GB2312" w:hint="eastAsia"/>
          <w:sz w:val="32"/>
          <w:szCs w:val="32"/>
        </w:rPr>
        <w:t>534.25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等。</w:t>
      </w:r>
    </w:p>
    <w:p w14:paraId="152A2B13" w14:textId="77777777" w:rsidR="00E71D59" w:rsidRDefault="0017239E">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rPr>
        <w:t>七、</w:t>
      </w:r>
      <w:r>
        <w:rPr>
          <w:rFonts w:ascii="黑体" w:eastAsia="黑体" w:hAnsi="黑体" w:cs="黑体" w:hint="eastAsia"/>
          <w:sz w:val="32"/>
          <w:szCs w:val="32"/>
          <w:lang w:val="zh-CN"/>
        </w:rPr>
        <w:t>“三重一大”有关事项</w:t>
      </w:r>
    </w:p>
    <w:p w14:paraId="0DC33D97"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1.</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日，周强任同泰公司法定代表人，主持全面工作，朱波不再担任同泰公司党委书记、董事长、总经理，高光民不再担任同泰公司副总经理，孙中岭不再担任同泰公司总工程师；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日，周强任同泰公司董事、总经理、董事长</w:t>
      </w:r>
    </w:p>
    <w:p w14:paraId="161E7A7D" w14:textId="77777777" w:rsidR="00E71D59" w:rsidRDefault="0017239E">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lang w:val="zh-CN"/>
        </w:rPr>
        <w:t>重大项目投资及境外投资情况；</w:t>
      </w:r>
    </w:p>
    <w:p w14:paraId="2A4DBC77" w14:textId="77777777" w:rsidR="00E71D59" w:rsidRDefault="0017239E">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lang w:val="zh-CN"/>
        </w:rPr>
        <w:t>大额资金调动</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lang w:val="zh-CN"/>
        </w:rPr>
        <w:t>。</w:t>
      </w:r>
    </w:p>
    <w:p w14:paraId="0343FDC5" w14:textId="77777777" w:rsidR="00E71D59" w:rsidRDefault="0017239E">
      <w:pPr>
        <w:spacing w:line="560" w:lineRule="exact"/>
        <w:ind w:firstLineChars="200" w:firstLine="640"/>
        <w:rPr>
          <w:rFonts w:ascii="黑体" w:eastAsia="黑体" w:hAnsi="黑体" w:cs="黑体"/>
          <w:sz w:val="32"/>
          <w:szCs w:val="32"/>
          <w:lang w:val="zh-CN"/>
        </w:rPr>
      </w:pPr>
      <w:r>
        <w:rPr>
          <w:rFonts w:ascii="黑体" w:eastAsia="黑体" w:hAnsi="黑体" w:cs="黑体" w:hint="eastAsia"/>
          <w:sz w:val="32"/>
          <w:szCs w:val="32"/>
        </w:rPr>
        <w:t>八、</w:t>
      </w:r>
      <w:r>
        <w:rPr>
          <w:rFonts w:ascii="黑体" w:eastAsia="黑体" w:hAnsi="黑体" w:cs="黑体" w:hint="eastAsia"/>
          <w:sz w:val="32"/>
          <w:szCs w:val="32"/>
          <w:lang w:val="zh-CN"/>
        </w:rPr>
        <w:t>社会责任的履行</w:t>
      </w:r>
    </w:p>
    <w:p w14:paraId="626B2E8E"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1.</w:t>
      </w:r>
      <w:r>
        <w:rPr>
          <w:rFonts w:ascii="仿宋_GB2312" w:eastAsia="仿宋_GB2312" w:hAnsi="仿宋_GB2312" w:cs="仿宋_GB2312" w:hint="eastAsia"/>
          <w:sz w:val="32"/>
          <w:szCs w:val="32"/>
        </w:rPr>
        <w:t>能够按照</w:t>
      </w:r>
      <w:r>
        <w:rPr>
          <w:rFonts w:ascii="仿宋_GB2312" w:eastAsia="仿宋_GB2312" w:hAnsi="仿宋_GB2312" w:cs="仿宋_GB2312" w:hint="eastAsia"/>
          <w:sz w:val="32"/>
          <w:szCs w:val="32"/>
          <w:lang w:val="zh-CN"/>
        </w:rPr>
        <w:t>劳动法律法规</w:t>
      </w:r>
      <w:r>
        <w:rPr>
          <w:rFonts w:ascii="仿宋_GB2312" w:eastAsia="仿宋_GB2312" w:hAnsi="仿宋_GB2312" w:cs="仿宋_GB2312" w:hint="eastAsia"/>
          <w:sz w:val="32"/>
          <w:szCs w:val="32"/>
        </w:rPr>
        <w:t>与职工及时签订劳动合同，对到期劳动合同及时续签，并严格按照合同事项遵守执行。</w:t>
      </w:r>
    </w:p>
    <w:p w14:paraId="44E5DC13"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年同泰公司未开展人才引进，未招聘新员工。</w:t>
      </w:r>
    </w:p>
    <w:p w14:paraId="41389141" w14:textId="77777777" w:rsidR="00E71D59" w:rsidRDefault="0017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3.</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年同泰公司未发生重大安全及环保事故。</w:t>
      </w:r>
    </w:p>
    <w:p w14:paraId="322947FA" w14:textId="77777777" w:rsidR="00E71D59" w:rsidRDefault="0017239E">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4.</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年同泰公司未</w:t>
      </w:r>
      <w:r>
        <w:rPr>
          <w:rFonts w:ascii="仿宋_GB2312" w:eastAsia="仿宋_GB2312" w:hAnsi="仿宋_GB2312" w:cs="仿宋_GB2312" w:hint="eastAsia"/>
          <w:sz w:val="32"/>
          <w:szCs w:val="32"/>
          <w:lang w:val="zh-CN"/>
        </w:rPr>
        <w:t>对外</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lang w:val="zh-CN"/>
        </w:rPr>
        <w:t>大额捐赠、赞助。</w:t>
      </w:r>
    </w:p>
    <w:p w14:paraId="74BB01BB" w14:textId="77777777" w:rsidR="00E71D59" w:rsidRDefault="00E71D59">
      <w:pPr>
        <w:spacing w:line="560" w:lineRule="exact"/>
        <w:ind w:firstLineChars="200" w:firstLine="420"/>
      </w:pPr>
    </w:p>
    <w:sectPr w:rsidR="00E71D5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EFAF" w14:textId="77777777" w:rsidR="0017239E" w:rsidRDefault="0017239E">
      <w:r>
        <w:separator/>
      </w:r>
    </w:p>
  </w:endnote>
  <w:endnote w:type="continuationSeparator" w:id="0">
    <w:p w14:paraId="432F9F85" w14:textId="77777777" w:rsidR="0017239E" w:rsidRDefault="0017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D1B4" w14:textId="77777777" w:rsidR="00E71D59" w:rsidRDefault="0017239E">
    <w:pPr>
      <w:pStyle w:val="a6"/>
    </w:pPr>
    <w:r>
      <w:rPr>
        <w:noProof/>
      </w:rPr>
      <mc:AlternateContent>
        <mc:Choice Requires="wps">
          <w:drawing>
            <wp:anchor distT="0" distB="0" distL="114300" distR="114300" simplePos="0" relativeHeight="251659264" behindDoc="0" locked="0" layoutInCell="1" allowOverlap="1" wp14:anchorId="5E29F793" wp14:editId="0B0B999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12CB8" w14:textId="77777777" w:rsidR="00E71D59" w:rsidRDefault="0017239E">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29F79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112CB8" w14:textId="77777777" w:rsidR="00E71D59" w:rsidRDefault="0017239E">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79EA" w14:textId="77777777" w:rsidR="0017239E" w:rsidRDefault="0017239E">
      <w:r>
        <w:separator/>
      </w:r>
    </w:p>
  </w:footnote>
  <w:footnote w:type="continuationSeparator" w:id="0">
    <w:p w14:paraId="60B0B8BE" w14:textId="77777777" w:rsidR="0017239E" w:rsidRDefault="00172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39E"/>
    <w:rsid w:val="00172A27"/>
    <w:rsid w:val="00CF71AA"/>
    <w:rsid w:val="00E71D59"/>
    <w:rsid w:val="087856BA"/>
    <w:rsid w:val="14B61F01"/>
    <w:rsid w:val="176B46E7"/>
    <w:rsid w:val="18AB096D"/>
    <w:rsid w:val="19A81AC5"/>
    <w:rsid w:val="22EB6A97"/>
    <w:rsid w:val="293B2676"/>
    <w:rsid w:val="312A655A"/>
    <w:rsid w:val="31930ED6"/>
    <w:rsid w:val="320C0AD2"/>
    <w:rsid w:val="33C91762"/>
    <w:rsid w:val="34CE6C30"/>
    <w:rsid w:val="356B4BBD"/>
    <w:rsid w:val="37755052"/>
    <w:rsid w:val="39CB1188"/>
    <w:rsid w:val="430C689E"/>
    <w:rsid w:val="44135090"/>
    <w:rsid w:val="44596776"/>
    <w:rsid w:val="483370CF"/>
    <w:rsid w:val="48B71A0C"/>
    <w:rsid w:val="4E2D75D3"/>
    <w:rsid w:val="4EA44445"/>
    <w:rsid w:val="503F0014"/>
    <w:rsid w:val="559C17A3"/>
    <w:rsid w:val="57FC4AFC"/>
    <w:rsid w:val="59994F7B"/>
    <w:rsid w:val="5A047F39"/>
    <w:rsid w:val="5B4F237B"/>
    <w:rsid w:val="64EE3E34"/>
    <w:rsid w:val="65F558E6"/>
    <w:rsid w:val="68EB4F7B"/>
    <w:rsid w:val="69BB3301"/>
    <w:rsid w:val="6BA543F7"/>
    <w:rsid w:val="704E20F8"/>
    <w:rsid w:val="72952E1A"/>
    <w:rsid w:val="763E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1FCAE"/>
  <w15:docId w15:val="{FADC5960-0E55-4945-A7CC-C79D8BE2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Note Heading"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te Heading"/>
    <w:basedOn w:val="a"/>
    <w:next w:val="a"/>
    <w:qFormat/>
    <w:pPr>
      <w:jc w:val="center"/>
    </w:pPr>
  </w:style>
  <w:style w:type="paragraph" w:styleId="a5">
    <w:name w:val="Body Text Indent"/>
    <w:basedOn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ordWrap w:val="0"/>
      <w:jc w:val="left"/>
    </w:pPr>
    <w:rPr>
      <w:rFonts w:cs="Times New Roman"/>
      <w:kern w:val="0"/>
      <w:sz w:val="24"/>
    </w:rPr>
  </w:style>
  <w:style w:type="paragraph" w:styleId="2">
    <w:name w:val="Body Text First Indent 2"/>
    <w:basedOn w:val="a5"/>
    <w:next w:val="a5"/>
    <w:qFormat/>
    <w:pPr>
      <w:ind w:firstLineChars="200" w:firstLine="200"/>
    </w:p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1"/>
    <w:qFormat/>
    <w:rPr>
      <w:color w:val="222222"/>
      <w:u w:val="none"/>
    </w:rPr>
  </w:style>
  <w:style w:type="character" w:styleId="ab">
    <w:name w:val="Hyperlink"/>
    <w:basedOn w:val="a1"/>
    <w:qFormat/>
    <w:rPr>
      <w:color w:val="222222"/>
      <w:u w:val="none"/>
    </w:rPr>
  </w:style>
  <w:style w:type="character" w:customStyle="1" w:styleId="time4">
    <w:name w:val="time4"/>
    <w:basedOn w:val="a1"/>
    <w:qFormat/>
    <w:rPr>
      <w:color w:val="8888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gtaijiaohua@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高煤公司党政办公室</cp:lastModifiedBy>
  <cp:revision>2</cp:revision>
  <cp:lastPrinted>2021-06-18T08:03:00Z</cp:lastPrinted>
  <dcterms:created xsi:type="dcterms:W3CDTF">2021-06-17T13:33:00Z</dcterms:created>
  <dcterms:modified xsi:type="dcterms:W3CDTF">2022-01-21T09:34:00Z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AAF87537021446989B24DB5E349FC5C4</vt:lpwstr>
  </property>
</Properties>
</file>