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00" w:lineRule="atLeas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 xml:space="preserve">临沂天炬节能材料科技有限公司 </w:t>
      </w:r>
    </w:p>
    <w:p>
      <w:pPr>
        <w:pStyle w:val="4"/>
        <w:widowControl/>
        <w:spacing w:beforeAutospacing="0" w:afterAutospacing="0" w:line="600" w:lineRule="atLeas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2021年年度信息公告</w:t>
      </w:r>
    </w:p>
    <w:p>
      <w:pPr>
        <w:pStyle w:val="4"/>
        <w:widowControl/>
        <w:spacing w:beforeAutospacing="0" w:afterAutospacing="0" w:line="600" w:lineRule="atLeast"/>
        <w:jc w:val="both"/>
        <w:rPr>
          <w:rFonts w:ascii="微软雅黑" w:hAnsi="微软雅黑" w:eastAsia="微软雅黑" w:cs="微软雅黑"/>
          <w:color w:val="000000"/>
        </w:rPr>
      </w:pPr>
    </w:p>
    <w:p>
      <w:pPr>
        <w:pStyle w:val="4"/>
        <w:widowControl/>
        <w:spacing w:beforeAutospacing="0" w:afterAutospacing="0"/>
        <w:ind w:firstLine="480" w:firstLineChars="200"/>
        <w:jc w:val="both"/>
        <w:rPr>
          <w:rFonts w:ascii="微软雅黑" w:hAnsi="微软雅黑" w:eastAsia="微软雅黑" w:cs="微软雅黑"/>
          <w:b/>
          <w:color w:val="000000"/>
        </w:rPr>
      </w:pPr>
      <w:r>
        <w:rPr>
          <w:rFonts w:hint="eastAsia" w:ascii="微软雅黑" w:hAnsi="微软雅黑" w:eastAsia="微软雅黑" w:cs="微软雅黑"/>
          <w:b/>
          <w:color w:val="000000"/>
        </w:rPr>
        <w:t>一、企业基本信息</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ascii="微软雅黑" w:hAnsi="微软雅黑" w:eastAsia="微软雅黑" w:cs="微软雅黑"/>
          <w:color w:val="000000"/>
        </w:rPr>
        <w:t>1.企业名称:临沂天炬节能材料科技有限公司</w:t>
      </w:r>
    </w:p>
    <w:p>
      <w:pPr>
        <w:pStyle w:val="4"/>
        <w:widowControl/>
        <w:spacing w:beforeAutospacing="0" w:afterAutospacing="0"/>
        <w:ind w:firstLine="480" w:firstLineChars="200"/>
        <w:jc w:val="both"/>
        <w:outlineLvl w:val="0"/>
        <w:rPr>
          <w:rFonts w:ascii="sans-serif" w:hAnsi="sans-serif" w:eastAsia="sans-serif" w:cs="sans-serif"/>
          <w:color w:val="000000"/>
          <w:sz w:val="27"/>
          <w:szCs w:val="27"/>
        </w:rPr>
      </w:pPr>
      <w:r>
        <w:rPr>
          <w:rFonts w:hint="eastAsia" w:ascii="微软雅黑" w:hAnsi="微软雅黑" w:eastAsia="微软雅黑" w:cs="微软雅黑"/>
          <w:color w:val="000000"/>
        </w:rPr>
        <w:t>2.企业统一社会信用代码:</w:t>
      </w:r>
      <w:r>
        <w:rPr>
          <w:rFonts w:ascii="Calibri" w:hAnsi="Calibri" w:eastAsia="微软雅黑" w:cs="Calibri"/>
          <w:color w:val="000000"/>
          <w:sz w:val="27"/>
          <w:szCs w:val="27"/>
        </w:rPr>
        <w:t>913713230713311576</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3.企业通信地址:临沂市沂水县南一环路</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4.企业邮政编码:276400</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5.企业联系电话:0539-7373168</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6.企业电子邮箱:sbfhcl@126.com</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7.企业经营状态:在营</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8.企业主营业务活动:玻璃纤维及制品制造；玻璃纤维及制品销售；高性能复合纤维及复合材料制造；高性能复合纤维及复合材料销售；玻璃纤维增强塑料制品制造；玻璃纤维增强塑料制品销售；金银制品销售；煤炭及制品销售；非金属矿物制品制造；非金属矿及制品销售。</w:t>
      </w:r>
    </w:p>
    <w:p>
      <w:pPr>
        <w:pStyle w:val="4"/>
        <w:widowControl/>
        <w:spacing w:beforeAutospacing="0" w:afterAutospacing="0"/>
        <w:ind w:firstLine="480" w:firstLineChars="200"/>
        <w:jc w:val="both"/>
        <w:rPr>
          <w:rFonts w:ascii="sans-serif" w:hAnsi="sans-serif" w:eastAsia="sans-serif" w:cs="sans-serif"/>
          <w:color w:val="000000"/>
          <w:sz w:val="27"/>
          <w:szCs w:val="27"/>
        </w:rPr>
      </w:pPr>
      <w:r>
        <w:rPr>
          <w:rFonts w:hint="eastAsia" w:ascii="微软雅黑" w:hAnsi="微软雅黑" w:eastAsia="微软雅黑" w:cs="微软雅黑"/>
          <w:color w:val="000000"/>
        </w:rPr>
        <w:t>9.股东发起人出资情况:山东玻纤集团股份有限公司出资额170,000,000元。</w:t>
      </w:r>
    </w:p>
    <w:p>
      <w:pPr>
        <w:pStyle w:val="4"/>
        <w:widowControl/>
        <w:spacing w:beforeAutospacing="0" w:afterAutospacing="0"/>
        <w:ind w:firstLine="480" w:firstLineChars="200"/>
        <w:jc w:val="both"/>
        <w:rPr>
          <w:rFonts w:hint="eastAsia" w:ascii="sans-serif" w:hAnsi="sans-serif" w:cs="sans-serif"/>
          <w:color w:val="000000"/>
          <w:sz w:val="27"/>
          <w:szCs w:val="27"/>
        </w:rPr>
      </w:pPr>
      <w:r>
        <w:rPr>
          <w:rFonts w:hint="eastAsia" w:ascii="微软雅黑" w:hAnsi="微软雅黑" w:eastAsia="微软雅黑" w:cs="微软雅黑"/>
          <w:color w:val="000000"/>
        </w:rPr>
        <w:t>10.企业投资信息或购买其它公司股权:无。</w:t>
      </w:r>
    </w:p>
    <w:p>
      <w:pPr>
        <w:pStyle w:val="4"/>
        <w:widowControl/>
        <w:spacing w:beforeAutospacing="0" w:afterAutospacing="0"/>
        <w:ind w:firstLine="480" w:firstLineChars="200"/>
        <w:jc w:val="both"/>
        <w:rPr>
          <w:rFonts w:ascii="微软雅黑" w:hAnsi="微软雅黑" w:eastAsia="微软雅黑" w:cs="微软雅黑"/>
          <w:color w:val="000000"/>
        </w:rPr>
      </w:pPr>
      <w:r>
        <w:rPr>
          <w:rFonts w:hint="eastAsia" w:ascii="微软雅黑" w:hAnsi="微软雅黑" w:eastAsia="微软雅黑" w:cs="微软雅黑"/>
          <w:b/>
          <w:color w:val="000000"/>
        </w:rPr>
        <w:t>二、主要财务数据</w:t>
      </w:r>
    </w:p>
    <w:p>
      <w:pPr>
        <w:pStyle w:val="4"/>
        <w:widowControl/>
        <w:spacing w:beforeAutospacing="0" w:afterAutospacing="0"/>
        <w:jc w:val="right"/>
        <w:rPr>
          <w:rFonts w:ascii="微软雅黑" w:hAnsi="微软雅黑" w:eastAsia="微软雅黑" w:cs="微软雅黑"/>
          <w:color w:val="000000"/>
        </w:rPr>
      </w:pPr>
      <w:r>
        <w:rPr>
          <w:rFonts w:hint="eastAsia" w:ascii="微软雅黑" w:hAnsi="微软雅黑" w:eastAsia="微软雅黑" w:cs="微软雅黑"/>
          <w:color w:val="000000"/>
        </w:rPr>
        <w:t xml:space="preserve">    单位：人民币万元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217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tcPr>
          <w:p>
            <w:pPr>
              <w:pStyle w:val="4"/>
              <w:widowControl/>
              <w:spacing w:beforeAutospacing="0" w:afterAutospacing="0"/>
              <w:jc w:val="both"/>
              <w:rPr>
                <w:rFonts w:ascii="微软雅黑" w:hAnsi="微软雅黑" w:eastAsia="微软雅黑" w:cs="微软雅黑"/>
                <w:color w:val="000000"/>
              </w:rPr>
            </w:pPr>
          </w:p>
        </w:tc>
        <w:tc>
          <w:tcPr>
            <w:tcW w:w="2171" w:type="dxa"/>
          </w:tcPr>
          <w:p>
            <w:pPr>
              <w:pStyle w:val="4"/>
              <w:widowControl/>
              <w:spacing w:beforeAutospacing="0" w:afterAutospacing="0"/>
              <w:jc w:val="center"/>
              <w:rPr>
                <w:rFonts w:ascii="微软雅黑" w:hAnsi="微软雅黑" w:eastAsia="微软雅黑" w:cs="微软雅黑"/>
                <w:color w:val="000000"/>
              </w:rPr>
            </w:pPr>
            <w:r>
              <w:rPr>
                <w:rFonts w:hint="eastAsia" w:ascii="微软雅黑" w:hAnsi="微软雅黑" w:eastAsia="微软雅黑" w:cs="微软雅黑"/>
                <w:color w:val="000000"/>
              </w:rPr>
              <w:t>2021年1-12月</w:t>
            </w:r>
          </w:p>
        </w:tc>
        <w:tc>
          <w:tcPr>
            <w:tcW w:w="2841" w:type="dxa"/>
          </w:tcPr>
          <w:p>
            <w:pPr>
              <w:pStyle w:val="4"/>
              <w:widowControl/>
              <w:spacing w:beforeAutospacing="0" w:afterAutospacing="0"/>
              <w:jc w:val="center"/>
              <w:rPr>
                <w:rFonts w:ascii="微软雅黑" w:hAnsi="微软雅黑" w:eastAsia="微软雅黑" w:cs="微软雅黑"/>
                <w:color w:val="000000"/>
              </w:rPr>
            </w:pPr>
            <w:r>
              <w:rPr>
                <w:rFonts w:hint="eastAsia" w:ascii="微软雅黑" w:hAnsi="微软雅黑" w:eastAsia="微软雅黑" w:cs="微软雅黑"/>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pStyle w:val="4"/>
              <w:widowControl/>
              <w:spacing w:beforeAutospacing="0" w:afterAutospacing="0"/>
              <w:jc w:val="both"/>
              <w:rPr>
                <w:rFonts w:ascii="微软雅黑" w:hAnsi="微软雅黑" w:eastAsia="微软雅黑" w:cs="微软雅黑"/>
                <w:color w:val="000000"/>
              </w:rPr>
            </w:pPr>
            <w:r>
              <w:rPr>
                <w:rFonts w:hint="eastAsia" w:ascii="微软雅黑" w:hAnsi="微软雅黑" w:eastAsia="微软雅黑" w:cs="微软雅黑"/>
                <w:color w:val="000000"/>
              </w:rPr>
              <w:t>总资产</w:t>
            </w:r>
          </w:p>
        </w:tc>
        <w:tc>
          <w:tcPr>
            <w:tcW w:w="2171" w:type="dxa"/>
            <w:vAlign w:val="center"/>
          </w:tcPr>
          <w:p>
            <w:pPr>
              <w:jc w:val="right"/>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59</w:t>
            </w:r>
            <w:r>
              <w:rPr>
                <w:rFonts w:hint="eastAsia" w:ascii="微软雅黑" w:hAnsi="微软雅黑" w:eastAsia="微软雅黑" w:cs="微软雅黑"/>
                <w:color w:val="000000"/>
                <w:kern w:val="0"/>
                <w:sz w:val="24"/>
                <w:lang w:val="en-US" w:eastAsia="zh-CN"/>
              </w:rPr>
              <w:t>,</w:t>
            </w:r>
            <w:r>
              <w:rPr>
                <w:rFonts w:hint="eastAsia" w:ascii="微软雅黑" w:hAnsi="微软雅黑" w:eastAsia="微软雅黑" w:cs="微软雅黑"/>
                <w:color w:val="000000"/>
                <w:kern w:val="0"/>
                <w:sz w:val="24"/>
              </w:rPr>
              <w:t>768.36</w:t>
            </w:r>
          </w:p>
        </w:tc>
        <w:tc>
          <w:tcPr>
            <w:tcW w:w="2841" w:type="dxa"/>
            <w:vMerge w:val="restart"/>
            <w:vAlign w:val="center"/>
          </w:tcPr>
          <w:p>
            <w:pPr>
              <w:pStyle w:val="4"/>
              <w:widowControl/>
              <w:spacing w:beforeAutospacing="0" w:afterAutospacing="0"/>
              <w:jc w:val="center"/>
              <w:rPr>
                <w:rFonts w:ascii="微软雅黑" w:hAnsi="微软雅黑" w:eastAsia="微软雅黑" w:cs="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pStyle w:val="4"/>
              <w:widowControl/>
              <w:spacing w:beforeAutospacing="0" w:afterAutospacing="0"/>
              <w:jc w:val="both"/>
              <w:rPr>
                <w:rFonts w:ascii="微软雅黑" w:hAnsi="微软雅黑" w:eastAsia="微软雅黑" w:cs="微软雅黑"/>
                <w:color w:val="000000"/>
              </w:rPr>
            </w:pPr>
            <w:r>
              <w:rPr>
                <w:rFonts w:hint="eastAsia" w:ascii="微软雅黑" w:hAnsi="微软雅黑" w:eastAsia="微软雅黑" w:cs="微软雅黑"/>
                <w:color w:val="000000"/>
              </w:rPr>
              <w:t>营业收入</w:t>
            </w:r>
          </w:p>
        </w:tc>
        <w:tc>
          <w:tcPr>
            <w:tcW w:w="2171" w:type="dxa"/>
            <w:vAlign w:val="center"/>
          </w:tcPr>
          <w:p>
            <w:pPr>
              <w:jc w:val="right"/>
              <w:rPr>
                <w:rFonts w:ascii="微软雅黑" w:hAnsi="微软雅黑" w:eastAsia="微软雅黑" w:cs="微软雅黑"/>
                <w:color w:val="000000"/>
                <w:kern w:val="0"/>
                <w:sz w:val="24"/>
              </w:rPr>
            </w:pPr>
            <w:r>
              <w:rPr>
                <w:rFonts w:ascii="微软雅黑" w:hAnsi="微软雅黑" w:eastAsia="微软雅黑" w:cs="微软雅黑"/>
                <w:color w:val="000000"/>
                <w:kern w:val="0"/>
                <w:sz w:val="24"/>
              </w:rPr>
              <w:t>81</w:t>
            </w:r>
            <w:r>
              <w:rPr>
                <w:rFonts w:hint="eastAsia" w:ascii="微软雅黑" w:hAnsi="微软雅黑" w:eastAsia="微软雅黑" w:cs="微软雅黑"/>
                <w:color w:val="000000"/>
                <w:kern w:val="0"/>
                <w:sz w:val="24"/>
                <w:lang w:val="en-US" w:eastAsia="zh-CN"/>
              </w:rPr>
              <w:t>,</w:t>
            </w:r>
            <w:r>
              <w:rPr>
                <w:rFonts w:ascii="微软雅黑" w:hAnsi="微软雅黑" w:eastAsia="微软雅黑" w:cs="微软雅黑"/>
                <w:color w:val="000000"/>
                <w:kern w:val="0"/>
                <w:sz w:val="24"/>
              </w:rPr>
              <w:t xml:space="preserve">305.93 </w:t>
            </w:r>
          </w:p>
        </w:tc>
        <w:tc>
          <w:tcPr>
            <w:tcW w:w="2841" w:type="dxa"/>
            <w:vMerge w:val="continue"/>
          </w:tcPr>
          <w:p>
            <w:pPr>
              <w:pStyle w:val="4"/>
              <w:widowControl/>
              <w:spacing w:beforeAutospacing="0" w:afterAutospacing="0"/>
              <w:jc w:val="both"/>
              <w:rPr>
                <w:rFonts w:ascii="微软雅黑" w:hAnsi="微软雅黑" w:eastAsia="微软雅黑" w:cs="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pStyle w:val="4"/>
              <w:widowControl/>
              <w:spacing w:beforeAutospacing="0" w:afterAutospacing="0"/>
              <w:jc w:val="both"/>
              <w:rPr>
                <w:rFonts w:ascii="微软雅黑" w:hAnsi="微软雅黑" w:eastAsia="微软雅黑" w:cs="微软雅黑"/>
                <w:color w:val="000000"/>
              </w:rPr>
            </w:pPr>
            <w:r>
              <w:rPr>
                <w:rFonts w:hint="eastAsia" w:ascii="微软雅黑" w:hAnsi="微软雅黑" w:eastAsia="微软雅黑" w:cs="微软雅黑"/>
                <w:color w:val="000000"/>
              </w:rPr>
              <w:t>净利润</w:t>
            </w:r>
          </w:p>
        </w:tc>
        <w:tc>
          <w:tcPr>
            <w:tcW w:w="2171" w:type="dxa"/>
            <w:vAlign w:val="center"/>
          </w:tcPr>
          <w:p>
            <w:pPr>
              <w:jc w:val="right"/>
              <w:rPr>
                <w:rFonts w:ascii="微软雅黑" w:hAnsi="微软雅黑" w:eastAsia="微软雅黑" w:cs="微软雅黑"/>
                <w:color w:val="000000"/>
                <w:kern w:val="0"/>
                <w:sz w:val="24"/>
              </w:rPr>
            </w:pPr>
            <w:r>
              <w:rPr>
                <w:rFonts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rPr>
              <w:t>13</w:t>
            </w:r>
            <w:r>
              <w:rPr>
                <w:rFonts w:hint="eastAsia" w:ascii="微软雅黑" w:hAnsi="微软雅黑" w:eastAsia="微软雅黑" w:cs="微软雅黑"/>
                <w:color w:val="000000"/>
                <w:kern w:val="0"/>
                <w:sz w:val="24"/>
                <w:lang w:val="en-US" w:eastAsia="zh-CN"/>
              </w:rPr>
              <w:t>,</w:t>
            </w:r>
            <w:r>
              <w:rPr>
                <w:rFonts w:hint="eastAsia" w:ascii="微软雅黑" w:hAnsi="微软雅黑" w:eastAsia="微软雅黑" w:cs="微软雅黑"/>
                <w:color w:val="000000"/>
                <w:kern w:val="0"/>
                <w:sz w:val="24"/>
              </w:rPr>
              <w:t>420.43</w:t>
            </w:r>
          </w:p>
        </w:tc>
        <w:tc>
          <w:tcPr>
            <w:tcW w:w="2841" w:type="dxa"/>
            <w:vMerge w:val="continue"/>
          </w:tcPr>
          <w:p>
            <w:pPr>
              <w:pStyle w:val="4"/>
              <w:widowControl/>
              <w:spacing w:beforeAutospacing="0" w:afterAutospacing="0"/>
              <w:jc w:val="both"/>
              <w:rPr>
                <w:rFonts w:ascii="微软雅黑" w:hAnsi="微软雅黑" w:eastAsia="微软雅黑" w:cs="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pStyle w:val="4"/>
              <w:widowControl/>
              <w:spacing w:beforeAutospacing="0" w:afterAutospacing="0"/>
              <w:jc w:val="both"/>
              <w:rPr>
                <w:rFonts w:ascii="微软雅黑" w:hAnsi="微软雅黑" w:eastAsia="微软雅黑" w:cs="微软雅黑"/>
                <w:color w:val="000000"/>
              </w:rPr>
            </w:pPr>
            <w:r>
              <w:rPr>
                <w:rFonts w:hint="eastAsia" w:ascii="微软雅黑" w:hAnsi="微软雅黑" w:eastAsia="微软雅黑" w:cs="微软雅黑"/>
                <w:color w:val="000000"/>
              </w:rPr>
              <w:t>净资产</w:t>
            </w:r>
          </w:p>
        </w:tc>
        <w:tc>
          <w:tcPr>
            <w:tcW w:w="2171" w:type="dxa"/>
            <w:vAlign w:val="center"/>
          </w:tcPr>
          <w:p>
            <w:pPr>
              <w:jc w:val="right"/>
              <w:rPr>
                <w:rFonts w:ascii="微软雅黑" w:hAnsi="微软雅黑" w:eastAsia="微软雅黑" w:cs="微软雅黑"/>
                <w:color w:val="000000"/>
                <w:kern w:val="0"/>
                <w:sz w:val="24"/>
              </w:rPr>
            </w:pPr>
            <w:r>
              <w:rPr>
                <w:rFonts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rPr>
              <w:t>32</w:t>
            </w:r>
            <w:r>
              <w:rPr>
                <w:rFonts w:hint="eastAsia" w:ascii="微软雅黑" w:hAnsi="微软雅黑" w:eastAsia="微软雅黑" w:cs="微软雅黑"/>
                <w:color w:val="000000"/>
                <w:kern w:val="0"/>
                <w:sz w:val="24"/>
                <w:lang w:val="en-US" w:eastAsia="zh-CN"/>
              </w:rPr>
              <w:t>,</w:t>
            </w:r>
            <w:r>
              <w:rPr>
                <w:rFonts w:hint="eastAsia" w:ascii="微软雅黑" w:hAnsi="微软雅黑" w:eastAsia="微软雅黑" w:cs="微软雅黑"/>
                <w:color w:val="000000"/>
                <w:kern w:val="0"/>
                <w:sz w:val="24"/>
              </w:rPr>
              <w:t>960.95</w:t>
            </w:r>
          </w:p>
        </w:tc>
        <w:tc>
          <w:tcPr>
            <w:tcW w:w="2841" w:type="dxa"/>
            <w:vMerge w:val="continue"/>
          </w:tcPr>
          <w:p>
            <w:pPr>
              <w:pStyle w:val="4"/>
              <w:widowControl/>
              <w:spacing w:beforeAutospacing="0" w:afterAutospacing="0"/>
              <w:jc w:val="both"/>
              <w:rPr>
                <w:rFonts w:ascii="微软雅黑" w:hAnsi="微软雅黑" w:eastAsia="微软雅黑" w:cs="微软雅黑"/>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pStyle w:val="4"/>
              <w:widowControl/>
              <w:spacing w:beforeAutospacing="0" w:afterAutospacing="0"/>
              <w:jc w:val="both"/>
              <w:rPr>
                <w:rFonts w:ascii="微软雅黑" w:hAnsi="微软雅黑" w:eastAsia="微软雅黑" w:cs="微软雅黑"/>
                <w:color w:val="000000"/>
              </w:rPr>
            </w:pPr>
            <w:r>
              <w:rPr>
                <w:rFonts w:hint="eastAsia" w:ascii="微软雅黑" w:hAnsi="微软雅黑" w:eastAsia="微软雅黑" w:cs="微软雅黑"/>
                <w:color w:val="000000"/>
              </w:rPr>
              <w:t>经营活动产生的现金流量净额</w:t>
            </w:r>
          </w:p>
        </w:tc>
        <w:tc>
          <w:tcPr>
            <w:tcW w:w="2171" w:type="dxa"/>
            <w:vAlign w:val="center"/>
          </w:tcPr>
          <w:p>
            <w:pPr>
              <w:pStyle w:val="4"/>
              <w:widowControl/>
              <w:spacing w:beforeAutospacing="0" w:afterAutospacing="0"/>
              <w:jc w:val="right"/>
              <w:rPr>
                <w:rFonts w:ascii="微软雅黑" w:hAnsi="微软雅黑" w:eastAsia="微软雅黑" w:cs="微软雅黑"/>
                <w:color w:val="000000"/>
              </w:rPr>
            </w:pPr>
            <w:r>
              <w:rPr>
                <w:rFonts w:hint="eastAsia" w:ascii="微软雅黑" w:hAnsi="微软雅黑" w:eastAsia="微软雅黑" w:cs="微软雅黑"/>
                <w:color w:val="000000"/>
              </w:rPr>
              <w:t>2</w:t>
            </w:r>
            <w:r>
              <w:rPr>
                <w:rFonts w:ascii="微软雅黑" w:hAnsi="微软雅黑" w:eastAsia="微软雅黑" w:cs="微软雅黑"/>
                <w:color w:val="000000"/>
              </w:rPr>
              <w:t>0</w:t>
            </w:r>
            <w:r>
              <w:rPr>
                <w:rFonts w:hint="eastAsia" w:ascii="微软雅黑" w:hAnsi="微软雅黑" w:eastAsia="微软雅黑" w:cs="微软雅黑"/>
                <w:color w:val="000000"/>
                <w:lang w:val="en-US" w:eastAsia="zh-CN"/>
              </w:rPr>
              <w:t>,</w:t>
            </w:r>
            <w:r>
              <w:rPr>
                <w:rFonts w:ascii="微软雅黑" w:hAnsi="微软雅黑" w:eastAsia="微软雅黑" w:cs="微软雅黑"/>
                <w:color w:val="000000"/>
              </w:rPr>
              <w:t>421.18</w:t>
            </w:r>
          </w:p>
        </w:tc>
        <w:tc>
          <w:tcPr>
            <w:tcW w:w="2841" w:type="dxa"/>
            <w:vMerge w:val="continue"/>
          </w:tcPr>
          <w:p>
            <w:pPr>
              <w:pStyle w:val="4"/>
              <w:widowControl/>
              <w:spacing w:beforeAutospacing="0" w:afterAutospacing="0"/>
              <w:jc w:val="both"/>
              <w:rPr>
                <w:rFonts w:ascii="微软雅黑" w:hAnsi="微软雅黑" w:eastAsia="微软雅黑" w:cs="微软雅黑"/>
                <w:color w:val="000000"/>
              </w:rPr>
            </w:pPr>
          </w:p>
        </w:tc>
      </w:tr>
    </w:tbl>
    <w:p>
      <w:pPr>
        <w:pStyle w:val="4"/>
        <w:widowControl/>
        <w:spacing w:beforeAutospacing="0" w:afterAutospacing="0"/>
        <w:ind w:firstLine="480" w:firstLineChars="200"/>
        <w:jc w:val="both"/>
        <w:rPr>
          <w:rFonts w:hint="eastAsia" w:ascii="微软雅黑" w:hAnsi="微软雅黑" w:eastAsia="微软雅黑" w:cs="微软雅黑"/>
          <w:color w:val="000000"/>
          <w:lang w:val="en-US" w:eastAsia="zh-CN"/>
        </w:rPr>
      </w:pPr>
      <w:r>
        <w:rPr>
          <w:rFonts w:hint="eastAsia" w:ascii="微软雅黑" w:hAnsi="微软雅黑" w:eastAsia="微软雅黑" w:cs="微软雅黑"/>
          <w:color w:val="000000"/>
          <w:lang w:val="en-US" w:eastAsia="zh-CN"/>
        </w:rPr>
        <w:t>三、公司治理情况</w:t>
      </w:r>
    </w:p>
    <w:p>
      <w:pPr>
        <w:pStyle w:val="4"/>
        <w:widowControl/>
        <w:spacing w:beforeAutospacing="0" w:afterAutospacing="0"/>
        <w:ind w:firstLine="480" w:firstLineChars="200"/>
        <w:jc w:val="both"/>
        <w:rPr>
          <w:rFonts w:hint="eastAsia" w:ascii="微软雅黑" w:hAnsi="微软雅黑" w:eastAsia="微软雅黑" w:cs="微软雅黑"/>
          <w:color w:val="000000"/>
          <w:lang w:val="en-US"/>
        </w:rPr>
      </w:pPr>
      <w:r>
        <w:rPr>
          <w:rFonts w:hint="eastAsia" w:ascii="微软雅黑" w:hAnsi="微软雅黑" w:eastAsia="微软雅黑" w:cs="微软雅黑"/>
          <w:color w:val="000000"/>
          <w:lang w:val="en-US" w:eastAsia="zh-CN"/>
        </w:rPr>
        <w:t>结合公司的行业特点和业务拓展实际经营情况，严格遵守母公司山东玻纤集团股份有限公司的一系列内控管理制度，从管理层面至业务层面建立了系统的内部控制体系及长效的内控监督机制。同时，以过程控制有效为核心的全面预算管理为抓手，提升财务预警能力，注重财务数据分析，加强资金使用监管，健立全覆盖的风险管理体系，进一步夯实全面风险管理能力。</w:t>
      </w:r>
    </w:p>
    <w:p>
      <w:pPr>
        <w:pStyle w:val="4"/>
        <w:widowControl/>
        <w:spacing w:beforeAutospacing="0" w:afterAutospacing="0"/>
        <w:ind w:firstLine="480" w:firstLineChars="200"/>
        <w:jc w:val="both"/>
        <w:rPr>
          <w:rFonts w:hint="eastAsia" w:ascii="微软雅黑" w:hAnsi="微软雅黑" w:eastAsia="微软雅黑" w:cs="微软雅黑"/>
          <w:color w:val="000000"/>
          <w:lang w:val="en-US"/>
        </w:rPr>
      </w:pPr>
      <w:r>
        <w:rPr>
          <w:rFonts w:hint="eastAsia" w:ascii="微软雅黑" w:hAnsi="微软雅黑" w:eastAsia="微软雅黑" w:cs="微软雅黑"/>
          <w:color w:val="000000"/>
          <w:lang w:val="en-US" w:eastAsia="zh-CN"/>
        </w:rPr>
        <w:t>按时按质完成分解的经营管理层战略目标，加强对各子公司重要岗位人员的选用、任免和考核，并通过OA系统、ERP系统等，加强内部管理控制与协同，提高经营管理水平。</w:t>
      </w:r>
    </w:p>
    <w:p>
      <w:pPr>
        <w:pStyle w:val="4"/>
        <w:widowControl/>
        <w:spacing w:beforeAutospacing="0" w:afterAutospacing="0"/>
        <w:jc w:val="both"/>
        <w:rPr>
          <w:rFonts w:ascii="微软雅黑" w:hAnsi="微软雅黑" w:eastAsia="微软雅黑" w:cs="微软雅黑"/>
          <w:color w:val="000000"/>
        </w:rPr>
      </w:pPr>
    </w:p>
    <w:p>
      <w:pPr>
        <w:pStyle w:val="4"/>
        <w:widowControl/>
        <w:spacing w:beforeAutospacing="0" w:afterAutospacing="0"/>
        <w:jc w:val="both"/>
        <w:rPr>
          <w:rFonts w:ascii="微软雅黑" w:hAnsi="微软雅黑" w:eastAsia="微软雅黑" w:cs="微软雅黑"/>
          <w:color w:val="000000"/>
        </w:rPr>
      </w:pPr>
      <w:r>
        <w:rPr>
          <w:rFonts w:hint="eastAsia" w:ascii="微软雅黑" w:hAnsi="微软雅黑" w:eastAsia="微软雅黑" w:cs="微软雅黑"/>
          <w:color w:val="000000"/>
        </w:rPr>
        <w:t>附件：临沂天炬节能科技材料有限公</w:t>
      </w:r>
      <w:bookmarkStart w:id="0" w:name="_GoBack"/>
      <w:bookmarkEnd w:id="0"/>
      <w:r>
        <w:rPr>
          <w:rFonts w:hint="eastAsia" w:ascii="微软雅黑" w:hAnsi="微软雅黑" w:eastAsia="微软雅黑" w:cs="微软雅黑"/>
          <w:color w:val="000000"/>
        </w:rPr>
        <w:t>司组织结构图：</w:t>
      </w:r>
    </w:p>
    <w:p>
      <w:pPr>
        <w:pStyle w:val="4"/>
        <w:widowControl/>
        <w:spacing w:beforeAutospacing="0" w:afterAutospacing="0"/>
        <w:jc w:val="both"/>
        <w:rPr>
          <w:rFonts w:ascii="sans-serif" w:hAnsi="sans-serif" w:eastAsia="sans-serif" w:cs="sans-serif"/>
          <w:color w:val="000000"/>
          <w:sz w:val="27"/>
          <w:szCs w:val="27"/>
        </w:rPr>
      </w:pPr>
      <w:r>
        <w:rPr>
          <w:rFonts w:ascii="sans-serif" w:hAnsi="sans-serif" w:eastAsia="sans-serif" w:cs="sans-serif"/>
          <w:color w:val="000000"/>
          <w:sz w:val="27"/>
          <w:szCs w:val="27"/>
        </w:rPr>
        <w:drawing>
          <wp:inline distT="0" distB="0" distL="0" distR="0">
            <wp:extent cx="4524375" cy="519684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4524375" cy="5196917"/>
                    </a:xfrm>
                    <a:prstGeom prst="rect">
                      <a:avLst/>
                    </a:prstGeom>
                    <a:noFill/>
                    <a:ln w="9525">
                      <a:noFill/>
                      <a:miter lim="800000"/>
                      <a:headEnd/>
                      <a:tailEnd/>
                    </a:ln>
                  </pic:spPr>
                </pic:pic>
              </a:graphicData>
            </a:graphic>
          </wp:inline>
        </w:drawing>
      </w:r>
    </w:p>
    <w:p>
      <w:pPr>
        <w:pStyle w:val="4"/>
        <w:widowControl/>
        <w:spacing w:beforeAutospacing="0" w:afterAutospacing="0"/>
        <w:ind w:firstLine="480"/>
        <w:jc w:val="both"/>
        <w:rPr>
          <w:rFonts w:hint="eastAsia" w:ascii="sans-serif" w:hAnsi="sans-serif" w:cs="sans-serif"/>
          <w:color w:val="000000"/>
          <w:sz w:val="27"/>
          <w:szCs w:val="27"/>
        </w:rPr>
      </w:pPr>
      <w:r>
        <w:rPr>
          <w:rFonts w:hint="eastAsia" w:ascii="宋体" w:hAnsi="宋体" w:eastAsia="宋体" w:cs="宋体"/>
          <w:color w:val="000000"/>
        </w:rPr>
        <w:t> </w:t>
      </w:r>
    </w:p>
    <w:p>
      <w:pPr>
        <w:pStyle w:val="4"/>
        <w:widowControl/>
        <w:spacing w:beforeAutospacing="0" w:afterAutospacing="0" w:line="600" w:lineRule="atLeast"/>
        <w:ind w:firstLine="4320"/>
        <w:jc w:val="right"/>
        <w:rPr>
          <w:rFonts w:ascii="sans-serif" w:hAnsi="sans-serif" w:eastAsia="sans-serif" w:cs="sans-serif"/>
          <w:color w:val="000000"/>
          <w:sz w:val="27"/>
          <w:szCs w:val="27"/>
        </w:rPr>
      </w:pPr>
      <w:r>
        <w:rPr>
          <w:rFonts w:hint="eastAsia" w:ascii="微软雅黑" w:hAnsi="微软雅黑" w:eastAsia="微软雅黑" w:cs="微软雅黑"/>
          <w:color w:val="000000"/>
        </w:rPr>
        <w:t>临沂天炬节能材料科技有限公司</w:t>
      </w:r>
    </w:p>
    <w:p>
      <w:pPr>
        <w:pStyle w:val="4"/>
        <w:widowControl/>
        <w:spacing w:beforeAutospacing="0" w:afterAutospacing="0" w:line="600" w:lineRule="atLeast"/>
        <w:ind w:firstLine="4320"/>
        <w:jc w:val="right"/>
        <w:rPr>
          <w:rFonts w:ascii="sans-serif" w:hAnsi="sans-serif" w:eastAsia="sans-serif" w:cs="sans-serif"/>
          <w:color w:val="000000"/>
          <w:sz w:val="27"/>
          <w:szCs w:val="27"/>
        </w:rPr>
      </w:pPr>
      <w:r>
        <w:rPr>
          <w:rFonts w:hint="eastAsia" w:ascii="微软雅黑" w:hAnsi="微软雅黑" w:eastAsia="微软雅黑" w:cs="微软雅黑"/>
          <w:color w:val="000000"/>
        </w:rPr>
        <w:t>202</w:t>
      </w:r>
      <w:r>
        <w:rPr>
          <w:rFonts w:hint="eastAsia" w:ascii="微软雅黑" w:hAnsi="微软雅黑" w:eastAsia="微软雅黑" w:cs="微软雅黑"/>
          <w:color w:val="000000"/>
          <w:lang w:val="en-US" w:eastAsia="zh-CN"/>
        </w:rPr>
        <w:t>2</w:t>
      </w:r>
      <w:r>
        <w:rPr>
          <w:rFonts w:hint="eastAsia" w:ascii="微软雅黑" w:hAnsi="微软雅黑" w:eastAsia="微软雅黑" w:cs="微软雅黑"/>
          <w:color w:val="000000"/>
        </w:rPr>
        <w:t>年</w:t>
      </w:r>
      <w:r>
        <w:rPr>
          <w:rFonts w:hint="eastAsia" w:ascii="微软雅黑" w:hAnsi="微软雅黑" w:eastAsia="微软雅黑" w:cs="微软雅黑"/>
          <w:color w:val="000000"/>
          <w:lang w:val="en-US" w:eastAsia="zh-CN"/>
        </w:rPr>
        <w:t>4</w:t>
      </w:r>
      <w:r>
        <w:rPr>
          <w:rFonts w:hint="eastAsia" w:ascii="微软雅黑" w:hAnsi="微软雅黑" w:eastAsia="微软雅黑" w:cs="微软雅黑"/>
          <w:color w:val="000000"/>
        </w:rPr>
        <w:t>月2</w:t>
      </w:r>
      <w:r>
        <w:rPr>
          <w:rFonts w:hint="eastAsia" w:ascii="微软雅黑" w:hAnsi="微软雅黑" w:eastAsia="微软雅黑" w:cs="微软雅黑"/>
          <w:color w:val="000000"/>
          <w:lang w:val="en-US" w:eastAsia="zh-CN"/>
        </w:rPr>
        <w:t>7</w:t>
      </w:r>
      <w:r>
        <w:rPr>
          <w:rFonts w:hint="eastAsia" w:ascii="微软雅黑" w:hAnsi="微软雅黑" w:eastAsia="微软雅黑" w:cs="微软雅黑"/>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ODUxMDI1MTg2MDY2NWY1YTlkYmE4OTEwYzg4MmUifQ=="/>
  </w:docVars>
  <w:rsids>
    <w:rsidRoot w:val="2F893427"/>
    <w:rsid w:val="002B29B3"/>
    <w:rsid w:val="003529D8"/>
    <w:rsid w:val="003B1793"/>
    <w:rsid w:val="00645E57"/>
    <w:rsid w:val="00764459"/>
    <w:rsid w:val="00835A0F"/>
    <w:rsid w:val="00AD0184"/>
    <w:rsid w:val="00B23B9B"/>
    <w:rsid w:val="00D12E75"/>
    <w:rsid w:val="00F72C9E"/>
    <w:rsid w:val="18F2289A"/>
    <w:rsid w:val="25BD2A28"/>
    <w:rsid w:val="2F893427"/>
    <w:rsid w:val="46501EB3"/>
    <w:rsid w:val="5D71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qFormat/>
    <w:uiPriority w:val="0"/>
    <w:rPr>
      <w:rFonts w:ascii="宋体" w:eastAsia="宋体"/>
      <w:sz w:val="18"/>
      <w:szCs w:val="18"/>
    </w:rPr>
  </w:style>
  <w:style w:type="paragraph" w:styleId="3">
    <w:name w:val="Balloon Text"/>
    <w:basedOn w:val="1"/>
    <w:link w:val="8"/>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9">
    <w:name w:val="文档结构图 Char"/>
    <w:basedOn w:val="7"/>
    <w:link w:val="2"/>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634</Words>
  <Characters>759</Characters>
  <Lines>4</Lines>
  <Paragraphs>1</Paragraphs>
  <TotalTime>0</TotalTime>
  <ScaleCrop>false</ScaleCrop>
  <LinksUpToDate>false</LinksUpToDate>
  <CharactersWithSpaces>770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2022-01-22T09:12:00Z</dcterms:created>
  <dc:creator>希望你开心</dc:creator>
  <cp:lastModifiedBy>王祥宁</cp:lastModifiedBy>
  <dcterms:modified xsi:type="dcterms:W3CDTF">2022-04-27T06:07:31Z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95D8F2DB8D8447CDA10C02E646EBBC90</vt:lpwstr>
  </property>
</Properties>
</file>