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90" w:rsidRDefault="00CF7FE6">
      <w:pPr>
        <w:jc w:val="center"/>
        <w:rPr>
          <w:rFonts w:ascii="方正粗宋简体" w:eastAsia="方正粗宋简体" w:hAnsi="方正粗宋简体" w:cs="方正粗宋简体"/>
          <w:color w:val="FF0000"/>
          <w:w w:val="39"/>
          <w:sz w:val="120"/>
          <w:szCs w:val="120"/>
        </w:rPr>
      </w:pPr>
      <w:r>
        <w:rPr>
          <w:rFonts w:ascii="方正粗宋简体" w:eastAsia="方正粗宋简体" w:hAnsi="方正粗宋简体" w:cs="方正粗宋简体" w:hint="eastAsia"/>
          <w:color w:val="FF0000"/>
          <w:w w:val="39"/>
          <w:sz w:val="120"/>
          <w:szCs w:val="120"/>
        </w:rPr>
        <w:t>中共华能灵台邵寨煤业有限责任公司委员会</w:t>
      </w:r>
    </w:p>
    <w:p w:rsidR="00847090" w:rsidRDefault="00847090">
      <w:pPr>
        <w:rPr>
          <w:rFonts w:ascii="仿宋_GB2312" w:eastAsia="仿宋_GB2312" w:hAnsi="仿宋_GB2312" w:cs="仿宋_GB2312"/>
          <w:sz w:val="32"/>
          <w:szCs w:val="32"/>
        </w:rPr>
      </w:pPr>
    </w:p>
    <w:p w:rsidR="00847090" w:rsidRDefault="00CF7FE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邵寨煤业党字〔2021〕</w:t>
      </w:r>
      <w:r w:rsidR="00B416EC">
        <w:rPr>
          <w:rFonts w:ascii="仿宋_GB2312" w:eastAsia="仿宋_GB2312" w:hAnsi="仿宋_GB2312" w:cs="仿宋_GB2312"/>
          <w:sz w:val="32"/>
          <w:szCs w:val="32"/>
        </w:rPr>
        <w:t>27</w:t>
      </w:r>
      <w:r>
        <w:rPr>
          <w:rFonts w:ascii="仿宋_GB2312" w:eastAsia="仿宋_GB2312" w:hAnsi="仿宋_GB2312" w:cs="仿宋_GB2312" w:hint="eastAsia"/>
          <w:sz w:val="32"/>
          <w:szCs w:val="32"/>
        </w:rPr>
        <w:t>号</w:t>
      </w:r>
    </w:p>
    <w:p w:rsidR="00847090" w:rsidRDefault="00CF7FE6">
      <w:r>
        <w:rPr>
          <w:rFonts w:ascii="宋体" w:eastAsia="宋体" w:hAnsi="宋体" w:cs="宋体" w:hint="eastAsia"/>
          <w:color w:val="FF0000"/>
          <w:w w:val="150"/>
          <w:position w:val="30"/>
          <w:sz w:val="32"/>
          <w:szCs w:val="32"/>
          <w:u w:val="thick"/>
          <w:lang w:bidi="ar"/>
        </w:rPr>
        <w:t xml:space="preserve">                 </w:t>
      </w:r>
      <w:r>
        <w:rPr>
          <w:rFonts w:ascii="宋体" w:eastAsia="宋体" w:hAnsi="宋体" w:cs="宋体" w:hint="eastAsia"/>
          <w:color w:val="FF0000"/>
          <w:position w:val="14"/>
          <w:sz w:val="40"/>
          <w:szCs w:val="40"/>
          <w:lang w:bidi="ar"/>
        </w:rPr>
        <w:t>★</w:t>
      </w:r>
      <w:r>
        <w:rPr>
          <w:rFonts w:ascii="宋体" w:eastAsia="宋体" w:hAnsi="宋体" w:cs="宋体" w:hint="eastAsia"/>
          <w:color w:val="FF0000"/>
          <w:w w:val="150"/>
          <w:position w:val="30"/>
          <w:sz w:val="32"/>
          <w:szCs w:val="32"/>
          <w:u w:val="thick"/>
          <w:lang w:bidi="ar"/>
        </w:rPr>
        <w:t xml:space="preserve">                 </w:t>
      </w:r>
    </w:p>
    <w:p w:rsidR="00847090" w:rsidRDefault="00847090">
      <w:pPr>
        <w:widowControl/>
        <w:shd w:val="clear" w:color="auto" w:fill="FFFFFF"/>
        <w:spacing w:line="600" w:lineRule="exact"/>
        <w:rPr>
          <w:rFonts w:ascii="方正小标宋简体" w:eastAsia="方正小标宋简体" w:hAnsi="方正小标宋简体" w:cs="方正小标宋简体"/>
          <w:spacing w:val="-6"/>
          <w:kern w:val="0"/>
          <w:sz w:val="44"/>
          <w:szCs w:val="44"/>
        </w:rPr>
      </w:pPr>
    </w:p>
    <w:p w:rsidR="00B416EC" w:rsidRPr="00B416EC" w:rsidRDefault="00B416EC" w:rsidP="00B416EC">
      <w:pPr>
        <w:spacing w:line="600" w:lineRule="exact"/>
        <w:ind w:firstLineChars="100" w:firstLine="416"/>
        <w:jc w:val="center"/>
        <w:rPr>
          <w:rFonts w:ascii="方正小标宋简体" w:eastAsia="方正小标宋简体" w:hAnsi="方正小标宋简体" w:cs="方正小标宋简体"/>
          <w:color w:val="000000" w:themeColor="text1"/>
          <w:spacing w:val="-12"/>
          <w:position w:val="-6"/>
          <w:sz w:val="44"/>
          <w:szCs w:val="44"/>
        </w:rPr>
      </w:pPr>
      <w:r w:rsidRPr="00B416EC">
        <w:rPr>
          <w:rFonts w:ascii="方正小标宋简体" w:eastAsia="方正小标宋简体" w:hAnsi="方正小标宋简体" w:cs="方正小标宋简体" w:hint="eastAsia"/>
          <w:color w:val="000000" w:themeColor="text1"/>
          <w:spacing w:val="-12"/>
          <w:position w:val="-6"/>
          <w:sz w:val="44"/>
          <w:szCs w:val="44"/>
        </w:rPr>
        <w:t>中共华能灵台邵寨煤业有限责任公司委员会</w:t>
      </w:r>
    </w:p>
    <w:p w:rsidR="00B416EC" w:rsidRPr="000162AB" w:rsidRDefault="00B416EC" w:rsidP="00B416EC">
      <w:pPr>
        <w:ind w:firstLineChars="200" w:firstLine="760"/>
        <w:rPr>
          <w:rFonts w:ascii="仿宋_GB2312" w:eastAsia="仿宋_GB2312" w:hAnsi="仿宋_GB2312" w:cs="仿宋_GB2312"/>
          <w:snapToGrid w:val="0"/>
          <w:color w:val="000000" w:themeColor="text1"/>
          <w:spacing w:val="-30"/>
          <w:kern w:val="0"/>
          <w:sz w:val="44"/>
          <w:szCs w:val="44"/>
        </w:rPr>
      </w:pPr>
      <w:r>
        <w:rPr>
          <w:rFonts w:ascii="方正小标宋简体" w:eastAsia="方正小标宋简体" w:hAnsi="方正小标宋简体" w:cs="方正小标宋简体" w:hint="eastAsia"/>
          <w:color w:val="000000" w:themeColor="text1"/>
          <w:spacing w:val="-30"/>
          <w:sz w:val="44"/>
          <w:szCs w:val="44"/>
        </w:rPr>
        <w:t>关于八</w:t>
      </w:r>
      <w:r w:rsidRPr="000162AB">
        <w:rPr>
          <w:rFonts w:ascii="方正小标宋简体" w:eastAsia="方正小标宋简体" w:hAnsi="方正小标宋简体" w:cs="方正小标宋简体" w:hint="eastAsia"/>
          <w:color w:val="000000" w:themeColor="text1"/>
          <w:spacing w:val="-30"/>
          <w:sz w:val="44"/>
          <w:szCs w:val="44"/>
        </w:rPr>
        <w:t>月份党建思想政治工作考核的情况通报</w:t>
      </w:r>
    </w:p>
    <w:p w:rsidR="00B416EC" w:rsidRDefault="00B416EC" w:rsidP="00B416EC">
      <w:pPr>
        <w:pStyle w:val="a0"/>
        <w:spacing w:line="600" w:lineRule="exact"/>
        <w:ind w:firstLine="320"/>
        <w:rPr>
          <w:rFonts w:ascii="仿宋_GB2312" w:hAnsi="仿宋_GB2312" w:cs="仿宋_GB2312"/>
          <w:snapToGrid w:val="0"/>
          <w:color w:val="000000" w:themeColor="text1"/>
          <w:szCs w:val="32"/>
        </w:rPr>
      </w:pPr>
    </w:p>
    <w:p w:rsidR="00B416EC" w:rsidRDefault="00B416EC" w:rsidP="00B416EC">
      <w:pPr>
        <w:pStyle w:val="a0"/>
        <w:spacing w:line="600" w:lineRule="exact"/>
        <w:ind w:firstLine="320"/>
        <w:rPr>
          <w:color w:val="000000" w:themeColor="text1"/>
        </w:rPr>
      </w:pPr>
      <w:r>
        <w:rPr>
          <w:rFonts w:ascii="仿宋_GB2312" w:hAnsi="仿宋_GB2312" w:cs="仿宋_GB2312" w:hint="eastAsia"/>
          <w:snapToGrid w:val="0"/>
          <w:color w:val="000000" w:themeColor="text1"/>
          <w:szCs w:val="32"/>
        </w:rPr>
        <w:t>各党支部：</w:t>
      </w:r>
    </w:p>
    <w:p w:rsidR="00B416EC" w:rsidRDefault="00B416EC" w:rsidP="00B416EC">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按照《邵寨煤业公司党建思想政治工作考核办法》要求，9月2日，由党委组织部和党群工作部共同考核了公司17个党支部8月份的党建思想政治工作，现将考核情况通报如下。</w:t>
      </w:r>
    </w:p>
    <w:p w:rsidR="00B416EC" w:rsidRDefault="00B416EC" w:rsidP="00B416EC">
      <w:pPr>
        <w:spacing w:line="600" w:lineRule="exact"/>
        <w:ind w:firstLineChars="200" w:firstLine="640"/>
        <w:rPr>
          <w:rFonts w:ascii="黑体" w:eastAsia="黑体" w:hAnsi="黑体" w:cs="黑体"/>
          <w:snapToGrid w:val="0"/>
          <w:color w:val="000000" w:themeColor="text1"/>
          <w:kern w:val="0"/>
          <w:sz w:val="32"/>
          <w:szCs w:val="32"/>
        </w:rPr>
      </w:pPr>
      <w:r>
        <w:rPr>
          <w:rFonts w:ascii="黑体" w:eastAsia="黑体" w:hAnsi="黑体" w:cs="黑体" w:hint="eastAsia"/>
          <w:snapToGrid w:val="0"/>
          <w:color w:val="000000" w:themeColor="text1"/>
          <w:kern w:val="0"/>
          <w:sz w:val="32"/>
          <w:szCs w:val="32"/>
        </w:rPr>
        <w:t>一、考核基本情况</w:t>
      </w:r>
    </w:p>
    <w:p w:rsidR="00B416EC" w:rsidRDefault="00B416EC" w:rsidP="00B416EC">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考核工作组本次对公司17个党支部全部进行了考核打分。其中：综采工区党支部90分、充采工区党支部90.98分、准备工区党支部85.19分、综掘区党支部</w:t>
      </w:r>
      <w:r>
        <w:rPr>
          <w:rFonts w:ascii="仿宋_GB2312" w:eastAsia="仿宋_GB2312" w:hAnsi="仿宋_GB2312" w:cs="仿宋_GB2312" w:hint="eastAsia"/>
          <w:sz w:val="32"/>
          <w:szCs w:val="32"/>
        </w:rPr>
        <w:t>86.48</w:t>
      </w:r>
      <w:r>
        <w:rPr>
          <w:rFonts w:ascii="仿宋_GB2312" w:eastAsia="仿宋_GB2312" w:hAnsi="仿宋_GB2312" w:cs="仿宋_GB2312" w:hint="eastAsia"/>
          <w:color w:val="000000" w:themeColor="text1"/>
          <w:sz w:val="32"/>
          <w:szCs w:val="32"/>
        </w:rPr>
        <w:t>分、普掘一队党支部</w:t>
      </w:r>
      <w:r>
        <w:rPr>
          <w:rFonts w:ascii="仿宋_GB2312" w:eastAsia="仿宋_GB2312" w:hAnsi="仿宋_GB2312" w:cs="仿宋_GB2312" w:hint="eastAsia"/>
          <w:sz w:val="32"/>
          <w:szCs w:val="32"/>
        </w:rPr>
        <w:t>85.75</w:t>
      </w:r>
      <w:r>
        <w:rPr>
          <w:rFonts w:ascii="仿宋_GB2312" w:eastAsia="仿宋_GB2312" w:hAnsi="仿宋_GB2312" w:cs="仿宋_GB2312" w:hint="eastAsia"/>
          <w:color w:val="000000" w:themeColor="text1"/>
          <w:sz w:val="32"/>
          <w:szCs w:val="32"/>
        </w:rPr>
        <w:t>分、提升工区党支部</w:t>
      </w:r>
      <w:r>
        <w:rPr>
          <w:rFonts w:ascii="仿宋_GB2312" w:eastAsia="仿宋_GB2312" w:hAnsi="仿宋_GB2312" w:cs="仿宋_GB2312" w:hint="eastAsia"/>
          <w:sz w:val="32"/>
          <w:szCs w:val="32"/>
        </w:rPr>
        <w:t>84.95</w:t>
      </w:r>
      <w:r>
        <w:rPr>
          <w:rFonts w:ascii="仿宋_GB2312" w:eastAsia="仿宋_GB2312" w:hAnsi="仿宋_GB2312" w:cs="仿宋_GB2312" w:hint="eastAsia"/>
          <w:color w:val="000000" w:themeColor="text1"/>
          <w:sz w:val="32"/>
          <w:szCs w:val="32"/>
        </w:rPr>
        <w:t>分、通防区党支部90.34分、运搬工区党支部87.57分、机电工区党支部92.79分、督察大队党支部87.05分、煤炭运销公司党支部87.42分、装备运营公司</w:t>
      </w:r>
      <w:r>
        <w:rPr>
          <w:rFonts w:ascii="仿宋_GB2312" w:eastAsia="仿宋_GB2312" w:hAnsi="仿宋_GB2312" w:cs="仿宋_GB2312" w:hint="eastAsia"/>
          <w:color w:val="000000" w:themeColor="text1"/>
          <w:sz w:val="32"/>
          <w:szCs w:val="32"/>
        </w:rPr>
        <w:lastRenderedPageBreak/>
        <w:t>党支部87.08分、后勤服务公司党支部87.86分、机厂党支部91.41分、机关第一党支部85.88分、机关第二党支部85.12分、机关三党支部</w:t>
      </w:r>
      <w:r>
        <w:rPr>
          <w:rFonts w:ascii="仿宋_GB2312" w:eastAsia="仿宋_GB2312" w:hAnsi="仿宋_GB2312" w:cs="仿宋_GB2312" w:hint="eastAsia"/>
          <w:sz w:val="32"/>
          <w:szCs w:val="32"/>
        </w:rPr>
        <w:t>84.56</w:t>
      </w:r>
      <w:r>
        <w:rPr>
          <w:rFonts w:ascii="仿宋_GB2312" w:eastAsia="仿宋_GB2312" w:hAnsi="仿宋_GB2312" w:cs="仿宋_GB2312" w:hint="eastAsia"/>
          <w:color w:val="000000" w:themeColor="text1"/>
          <w:sz w:val="32"/>
          <w:szCs w:val="32"/>
        </w:rPr>
        <w:t>分。</w:t>
      </w:r>
    </w:p>
    <w:p w:rsidR="00B416EC" w:rsidRDefault="00B416EC" w:rsidP="00B416EC">
      <w:pPr>
        <w:spacing w:line="600" w:lineRule="exact"/>
        <w:ind w:firstLineChars="200" w:firstLine="640"/>
        <w:rPr>
          <w:rFonts w:ascii="仿宋_GB2312" w:eastAsia="仿宋_GB2312" w:hAnsi="仿宋_GB2312" w:cs="仿宋_GB2312"/>
          <w:snapToGrid w:val="0"/>
          <w:color w:val="000000" w:themeColor="text1"/>
          <w:kern w:val="0"/>
          <w:sz w:val="32"/>
          <w:szCs w:val="32"/>
        </w:rPr>
      </w:pPr>
      <w:r w:rsidRPr="00A0069B">
        <w:rPr>
          <w:rFonts w:ascii="黑体" w:eastAsia="黑体" w:hAnsi="黑体" w:cs="黑体" w:hint="eastAsia"/>
          <w:snapToGrid w:val="0"/>
          <w:color w:val="000000" w:themeColor="text1"/>
          <w:kern w:val="0"/>
          <w:sz w:val="32"/>
          <w:szCs w:val="32"/>
        </w:rPr>
        <w:t>二、存在的问题</w:t>
      </w:r>
    </w:p>
    <w:p w:rsidR="00B416EC" w:rsidRDefault="00B416EC" w:rsidP="00B416E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一是</w:t>
      </w:r>
      <w:r>
        <w:rPr>
          <w:rFonts w:ascii="仿宋_GB2312" w:eastAsia="仿宋_GB2312" w:hAnsi="仿宋_GB2312" w:cs="仿宋_GB2312" w:hint="eastAsia"/>
          <w:color w:val="000000" w:themeColor="text1"/>
          <w:sz w:val="32"/>
          <w:szCs w:val="32"/>
        </w:rPr>
        <w:t>支部综合工作方面：个别党支部资料杂乱的现象仍然十分突出，不注意借鉴好经验好方法，导致工作长期原地踏步；部分党支部</w:t>
      </w:r>
      <w:r w:rsidRPr="002F7BE7">
        <w:rPr>
          <w:rFonts w:eastAsia="仿宋_GB2312" w:hAnsi="宋体" w:hint="eastAsia"/>
          <w:sz w:val="32"/>
        </w:rPr>
        <w:t>“度危求进聚合力</w:t>
      </w:r>
      <w:r>
        <w:rPr>
          <w:rFonts w:eastAsia="仿宋_GB2312" w:hAnsi="宋体" w:hint="eastAsia"/>
          <w:sz w:val="32"/>
        </w:rPr>
        <w:t>、</w:t>
      </w:r>
      <w:r w:rsidRPr="002F7BE7">
        <w:rPr>
          <w:rFonts w:eastAsia="仿宋_GB2312" w:hAnsi="宋体" w:hint="eastAsia"/>
          <w:sz w:val="32"/>
        </w:rPr>
        <w:t>变革突围开新局”</w:t>
      </w:r>
      <w:r>
        <w:rPr>
          <w:rFonts w:eastAsia="仿宋_GB2312" w:hAnsi="宋体" w:hint="eastAsia"/>
          <w:sz w:val="32"/>
        </w:rPr>
        <w:t>主题教育第三阶段活动，工作做了，但缺少印证资料；</w:t>
      </w:r>
      <w:r>
        <w:rPr>
          <w:rFonts w:ascii="仿宋_GB2312" w:eastAsia="仿宋_GB2312" w:hAnsi="仿宋_GB2312" w:cs="仿宋_GB2312" w:hint="eastAsia"/>
          <w:color w:val="000000" w:themeColor="text1"/>
          <w:sz w:val="32"/>
          <w:szCs w:val="32"/>
        </w:rPr>
        <w:t>个别党支部安全教育不扎实不到位，出现“行安”问题，影响了公司整体安全稳定。</w:t>
      </w:r>
      <w:r>
        <w:rPr>
          <w:rFonts w:ascii="仿宋_GB2312" w:eastAsia="仿宋_GB2312" w:hAnsi="仿宋_GB2312" w:cs="仿宋_GB2312" w:hint="eastAsia"/>
          <w:b/>
          <w:bCs/>
          <w:color w:val="000000" w:themeColor="text1"/>
          <w:sz w:val="32"/>
          <w:szCs w:val="32"/>
        </w:rPr>
        <w:t>二是</w:t>
      </w:r>
      <w:r>
        <w:rPr>
          <w:rFonts w:ascii="仿宋_GB2312" w:eastAsia="仿宋_GB2312" w:hAnsi="仿宋_GB2312" w:cs="仿宋_GB2312" w:hint="eastAsia"/>
          <w:color w:val="000000" w:themeColor="text1"/>
          <w:sz w:val="32"/>
          <w:szCs w:val="32"/>
        </w:rPr>
        <w:t>支部组织工作方面：个别党支部党史学习教育专题组织生活会摆查材料</w:t>
      </w:r>
      <w:r w:rsidRPr="00714879">
        <w:rPr>
          <w:rFonts w:ascii="仿宋_GB2312" w:eastAsia="仿宋_GB2312" w:hAnsi="仿宋_GB2312" w:cs="仿宋_GB2312" w:hint="eastAsia"/>
          <w:color w:val="000000" w:themeColor="text1"/>
          <w:sz w:val="32"/>
          <w:szCs w:val="32"/>
        </w:rPr>
        <w:t>书记未签字</w:t>
      </w:r>
      <w:r>
        <w:rPr>
          <w:rFonts w:ascii="仿宋_GB2312" w:eastAsia="仿宋_GB2312" w:hAnsi="仿宋_GB2312" w:cs="仿宋_GB2312" w:hint="eastAsia"/>
          <w:color w:val="000000" w:themeColor="text1"/>
          <w:sz w:val="32"/>
          <w:szCs w:val="32"/>
        </w:rPr>
        <w:t>；党员个人灯塔使用不正常；</w:t>
      </w:r>
      <w:r w:rsidRPr="00714879">
        <w:rPr>
          <w:rFonts w:ascii="仿宋_GB2312" w:eastAsia="仿宋_GB2312" w:hAnsi="仿宋_GB2312" w:cs="仿宋_GB2312" w:hint="eastAsia"/>
          <w:color w:val="000000" w:themeColor="text1"/>
          <w:sz w:val="32"/>
          <w:szCs w:val="32"/>
        </w:rPr>
        <w:t>“我和我的支部”微视频小火炬活动组织不力</w:t>
      </w:r>
      <w:r>
        <w:rPr>
          <w:rFonts w:ascii="仿宋_GB2312" w:eastAsia="仿宋_GB2312" w:hAnsi="仿宋_GB2312" w:cs="仿宋_GB2312" w:hint="eastAsia"/>
          <w:color w:val="000000" w:themeColor="text1"/>
          <w:sz w:val="32"/>
          <w:szCs w:val="32"/>
        </w:rPr>
        <w:t>；“争星晋级”无自查报告。</w:t>
      </w:r>
      <w:r>
        <w:rPr>
          <w:rFonts w:ascii="仿宋_GB2312" w:eastAsia="仿宋_GB2312" w:hAnsi="仿宋_GB2312" w:cs="仿宋_GB2312" w:hint="eastAsia"/>
          <w:b/>
          <w:bCs/>
          <w:color w:val="000000" w:themeColor="text1"/>
          <w:sz w:val="32"/>
          <w:szCs w:val="32"/>
        </w:rPr>
        <w:t>三是</w:t>
      </w:r>
      <w:r>
        <w:rPr>
          <w:rFonts w:ascii="仿宋_GB2312" w:eastAsia="仿宋_GB2312" w:hAnsi="仿宋_GB2312" w:cs="仿宋_GB2312" w:hint="eastAsia"/>
          <w:color w:val="000000" w:themeColor="text1"/>
          <w:sz w:val="32"/>
          <w:szCs w:val="32"/>
        </w:rPr>
        <w:t>支部宣传思想工作方面：个别党支部</w:t>
      </w:r>
      <w:r w:rsidRPr="00183342">
        <w:rPr>
          <w:rFonts w:ascii="仿宋_GB2312" w:eastAsia="仿宋_GB2312" w:hint="eastAsia"/>
          <w:sz w:val="32"/>
          <w:szCs w:val="32"/>
        </w:rPr>
        <w:t>报送新闻稿件</w:t>
      </w:r>
      <w:r>
        <w:rPr>
          <w:rFonts w:ascii="仿宋_GB2312" w:eastAsia="仿宋_GB2312" w:hint="eastAsia"/>
          <w:sz w:val="32"/>
          <w:szCs w:val="32"/>
        </w:rPr>
        <w:t>不及时，未完成宣传指标；个别党支部</w:t>
      </w:r>
      <w:r w:rsidRPr="00183342">
        <w:rPr>
          <w:rFonts w:ascii="仿宋_GB2312" w:eastAsia="仿宋_GB2312" w:hint="eastAsia"/>
          <w:sz w:val="32"/>
          <w:szCs w:val="32"/>
        </w:rPr>
        <w:t>未</w:t>
      </w:r>
      <w:r>
        <w:rPr>
          <w:rFonts w:ascii="仿宋_GB2312" w:eastAsia="仿宋_GB2312" w:hint="eastAsia"/>
          <w:sz w:val="32"/>
          <w:szCs w:val="32"/>
        </w:rPr>
        <w:t>完成</w:t>
      </w:r>
      <w:r w:rsidRPr="00183342">
        <w:rPr>
          <w:rFonts w:ascii="仿宋_GB2312" w:eastAsia="仿宋_GB2312" w:hint="eastAsia"/>
          <w:sz w:val="32"/>
          <w:szCs w:val="32"/>
        </w:rPr>
        <w:t>“学党史、悟思想、办实事、开新局”征文</w:t>
      </w:r>
      <w:r>
        <w:rPr>
          <w:rFonts w:ascii="仿宋_GB2312" w:eastAsia="仿宋_GB2312" w:hint="eastAsia"/>
          <w:sz w:val="32"/>
          <w:szCs w:val="32"/>
        </w:rPr>
        <w:t>报送工作；</w:t>
      </w:r>
      <w:r w:rsidRPr="00E57322">
        <w:rPr>
          <w:rFonts w:ascii="仿宋_GB2312" w:eastAsia="仿宋_GB2312"/>
          <w:sz w:val="32"/>
          <w:szCs w:val="32"/>
        </w:rPr>
        <w:t>主题教育活动内容无图片印证资料</w:t>
      </w:r>
      <w:r>
        <w:rPr>
          <w:rFonts w:ascii="仿宋_GB2312" w:eastAsia="仿宋_GB2312"/>
          <w:sz w:val="32"/>
          <w:szCs w:val="32"/>
        </w:rPr>
        <w:t>。</w:t>
      </w:r>
      <w:r>
        <w:rPr>
          <w:rFonts w:ascii="仿宋_GB2312" w:eastAsia="仿宋_GB2312" w:hAnsi="仿宋_GB2312" w:cs="仿宋_GB2312" w:hint="eastAsia"/>
          <w:b/>
          <w:bCs/>
          <w:color w:val="000000" w:themeColor="text1"/>
          <w:sz w:val="32"/>
          <w:szCs w:val="32"/>
        </w:rPr>
        <w:t>四是</w:t>
      </w:r>
      <w:r>
        <w:rPr>
          <w:rFonts w:ascii="仿宋_GB2312" w:eastAsia="仿宋_GB2312" w:hAnsi="仿宋_GB2312" w:cs="仿宋_GB2312" w:hint="eastAsia"/>
          <w:color w:val="000000" w:themeColor="text1"/>
          <w:sz w:val="32"/>
          <w:szCs w:val="32"/>
        </w:rPr>
        <w:t>支部党风廉政建设工作方面：个别党支部党风廉政建设会议记录及廉洁风险防控分析权力配置情况不及时；党风廉政信息未完成报送任务；缺少廉洁文化阵地建设牌板；党风廉政建设资料整理归档不及时。</w:t>
      </w:r>
      <w:r>
        <w:rPr>
          <w:rFonts w:ascii="仿宋_GB2312" w:eastAsia="仿宋_GB2312" w:hAnsi="仿宋_GB2312" w:cs="仿宋_GB2312" w:hint="eastAsia"/>
          <w:b/>
          <w:bCs/>
          <w:color w:val="000000" w:themeColor="text1"/>
          <w:sz w:val="32"/>
          <w:szCs w:val="32"/>
        </w:rPr>
        <w:t>五</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工会工作方面：个别车间工会</w:t>
      </w:r>
      <w:r>
        <w:rPr>
          <w:rFonts w:ascii="仿宋_GB2312" w:eastAsia="仿宋_GB2312" w:hAnsi="仿宋_GB2312" w:cs="仿宋_GB2312" w:hint="eastAsia"/>
          <w:color w:val="000000" w:themeColor="text1"/>
          <w:sz w:val="32"/>
          <w:szCs w:val="32"/>
        </w:rPr>
        <w:t>“双联”资料滞后</w:t>
      </w:r>
      <w:r w:rsidRPr="00D43C1B">
        <w:rPr>
          <w:rFonts w:ascii="仿宋_GB2312" w:eastAsia="仿宋_GB2312" w:hAnsi="仿宋_GB2312" w:cs="仿宋_GB2312" w:hint="eastAsia"/>
          <w:color w:val="000000" w:themeColor="text1"/>
          <w:sz w:val="32"/>
          <w:szCs w:val="32"/>
        </w:rPr>
        <w:t>，金秋助学人员摸底不准确</w:t>
      </w:r>
      <w:r>
        <w:rPr>
          <w:rFonts w:ascii="仿宋_GB2312" w:eastAsia="仿宋_GB2312" w:hAnsi="仿宋_GB2312" w:cs="仿宋_GB2312" w:hint="eastAsia"/>
          <w:color w:val="000000" w:themeColor="text1"/>
          <w:sz w:val="32"/>
          <w:szCs w:val="32"/>
        </w:rPr>
        <w:t>；</w:t>
      </w:r>
      <w:r w:rsidRPr="00D43C1B">
        <w:rPr>
          <w:rFonts w:ascii="仿宋_GB2312" w:eastAsia="仿宋_GB2312" w:hAnsi="仿宋_GB2312" w:cs="仿宋_GB2312" w:hint="eastAsia"/>
          <w:color w:val="000000" w:themeColor="text1"/>
          <w:sz w:val="32"/>
          <w:szCs w:val="32"/>
        </w:rPr>
        <w:t>未制定健康行动文件落实方案</w:t>
      </w:r>
      <w:r>
        <w:rPr>
          <w:rFonts w:ascii="仿宋_GB2312" w:eastAsia="仿宋_GB2312" w:hAnsi="仿宋_GB2312" w:cs="仿宋_GB2312" w:hint="eastAsia"/>
          <w:color w:val="000000" w:themeColor="text1"/>
          <w:sz w:val="32"/>
          <w:szCs w:val="32"/>
        </w:rPr>
        <w:t>；未</w:t>
      </w:r>
      <w:r w:rsidRPr="00D43C1B">
        <w:rPr>
          <w:rFonts w:ascii="仿宋_GB2312" w:eastAsia="仿宋_GB2312" w:hAnsi="仿宋_GB2312" w:cs="仿宋_GB2312" w:hint="eastAsia"/>
          <w:color w:val="000000" w:themeColor="text1"/>
          <w:sz w:val="32"/>
          <w:szCs w:val="32"/>
        </w:rPr>
        <w:t>报送群监员月度统计表</w:t>
      </w:r>
      <w:r>
        <w:rPr>
          <w:rFonts w:ascii="仿宋_GB2312" w:eastAsia="仿宋_GB2312" w:hAnsi="仿宋_GB2312" w:cs="仿宋_GB2312" w:hint="eastAsia"/>
          <w:color w:val="000000" w:themeColor="text1"/>
          <w:sz w:val="32"/>
          <w:szCs w:val="32"/>
        </w:rPr>
        <w:t>；</w:t>
      </w:r>
      <w:r w:rsidRPr="00C13C6B">
        <w:rPr>
          <w:rFonts w:ascii="仿宋_GB2312" w:eastAsia="仿宋_GB2312" w:hAnsi="仿宋_GB2312" w:cs="仿宋_GB2312" w:hint="eastAsia"/>
          <w:sz w:val="32"/>
          <w:szCs w:val="32"/>
        </w:rPr>
        <w:t>困难职工档案资料</w:t>
      </w:r>
      <w:r>
        <w:rPr>
          <w:rFonts w:ascii="仿宋_GB2312" w:eastAsia="仿宋_GB2312" w:hAnsi="仿宋_GB2312" w:cs="仿宋_GB2312" w:hint="eastAsia"/>
          <w:sz w:val="32"/>
          <w:szCs w:val="32"/>
        </w:rPr>
        <w:t>、</w:t>
      </w:r>
      <w:r w:rsidRPr="00C13C6B">
        <w:rPr>
          <w:rFonts w:ascii="仿宋_GB2312" w:eastAsia="仿宋_GB2312" w:hAnsi="仿宋_GB2312" w:cs="仿宋_GB2312" w:hint="eastAsia"/>
          <w:color w:val="000000" w:themeColor="text1"/>
          <w:sz w:val="32"/>
          <w:szCs w:val="32"/>
        </w:rPr>
        <w:t>厂务公开台账</w:t>
      </w:r>
      <w:r w:rsidRPr="00C13C6B">
        <w:rPr>
          <w:rFonts w:ascii="仿宋_GB2312" w:eastAsia="仿宋_GB2312" w:hAnsi="仿宋_GB2312" w:cs="仿宋_GB2312" w:hint="eastAsia"/>
          <w:sz w:val="32"/>
          <w:szCs w:val="32"/>
        </w:rPr>
        <w:t>不齐全</w:t>
      </w:r>
      <w:r>
        <w:rPr>
          <w:rFonts w:ascii="仿宋_GB2312" w:eastAsia="仿宋_GB2312" w:hAnsi="仿宋_GB2312" w:cs="仿宋_GB2312" w:hint="eastAsia"/>
          <w:sz w:val="32"/>
          <w:szCs w:val="32"/>
        </w:rPr>
        <w:t>；</w:t>
      </w:r>
      <w:r w:rsidRPr="00C13C6B">
        <w:rPr>
          <w:rFonts w:ascii="仿宋_GB2312" w:eastAsia="仿宋_GB2312" w:hAnsi="仿宋_GB2312" w:cs="仿宋_GB2312" w:hint="eastAsia"/>
          <w:color w:val="000000" w:themeColor="text1"/>
          <w:sz w:val="32"/>
          <w:szCs w:val="32"/>
        </w:rPr>
        <w:t>提案改善报送不及时</w:t>
      </w:r>
      <w:r>
        <w:rPr>
          <w:rFonts w:ascii="仿宋_GB2312" w:eastAsia="仿宋_GB2312" w:hAnsi="仿宋_GB2312" w:cs="仿宋_GB2312" w:hint="eastAsia"/>
          <w:color w:val="000000" w:themeColor="text1"/>
          <w:sz w:val="32"/>
          <w:szCs w:val="32"/>
        </w:rPr>
        <w:t>。</w:t>
      </w:r>
      <w:r w:rsidRPr="00736CF5">
        <w:rPr>
          <w:rFonts w:ascii="仿宋_GB2312" w:eastAsia="仿宋_GB2312" w:hAnsi="仿宋_GB2312" w:cs="仿宋_GB2312" w:hint="eastAsia"/>
          <w:b/>
          <w:bCs/>
          <w:sz w:val="32"/>
          <w:szCs w:val="32"/>
        </w:rPr>
        <w:lastRenderedPageBreak/>
        <w:t>六</w:t>
      </w:r>
      <w:r>
        <w:rPr>
          <w:rFonts w:ascii="仿宋_GB2312" w:eastAsia="仿宋_GB2312" w:hAnsi="仿宋_GB2312" w:cs="仿宋_GB2312" w:hint="eastAsia"/>
          <w:b/>
          <w:bCs/>
          <w:color w:val="000000" w:themeColor="text1"/>
          <w:sz w:val="32"/>
          <w:szCs w:val="32"/>
        </w:rPr>
        <w:t>是</w:t>
      </w:r>
      <w:r>
        <w:rPr>
          <w:rFonts w:ascii="仿宋_GB2312" w:eastAsia="仿宋_GB2312" w:hAnsi="仿宋_GB2312" w:cs="仿宋_GB2312" w:hint="eastAsia"/>
          <w:color w:val="000000" w:themeColor="text1"/>
          <w:sz w:val="32"/>
          <w:szCs w:val="32"/>
        </w:rPr>
        <w:t>共青团工作方面：个别团支部、青年工作部</w:t>
      </w:r>
      <w:r>
        <w:rPr>
          <w:rFonts w:ascii="仿宋_GB2312" w:eastAsia="仿宋_GB2312" w:hint="eastAsia"/>
          <w:sz w:val="32"/>
          <w:szCs w:val="32"/>
        </w:rPr>
        <w:t>青安岗工作记录不规范，包保人签字不全；月度例会无记录，学习配档表签到未打印存档；主题教育活动资料不齐全；新分大学生没有及时采集信息建档。</w:t>
      </w:r>
    </w:p>
    <w:p w:rsidR="00B416EC" w:rsidRDefault="00B416EC" w:rsidP="00B416EC">
      <w:pPr>
        <w:spacing w:line="600" w:lineRule="exact"/>
        <w:ind w:firstLineChars="200" w:firstLine="640"/>
        <w:rPr>
          <w:rFonts w:ascii="仿宋_GB2312" w:eastAsia="仿宋_GB2312" w:hAnsi="仿宋_GB2312" w:cs="仿宋_GB2312"/>
          <w:color w:val="000000" w:themeColor="text1"/>
          <w:sz w:val="32"/>
          <w:szCs w:val="32"/>
        </w:rPr>
      </w:pPr>
      <w:r>
        <w:rPr>
          <w:rFonts w:ascii="黑体" w:eastAsia="黑体" w:hAnsi="黑体" w:cs="仿宋_GB2312" w:hint="eastAsia"/>
          <w:snapToGrid w:val="0"/>
          <w:color w:val="000000" w:themeColor="text1"/>
          <w:kern w:val="0"/>
          <w:sz w:val="32"/>
          <w:szCs w:val="32"/>
        </w:rPr>
        <w:t>三、考核结果运用</w:t>
      </w:r>
    </w:p>
    <w:p w:rsidR="00B416EC" w:rsidRDefault="00B416EC" w:rsidP="00B416EC">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根据《邵寨煤业公司党建思想政治工作考核办法》补充规定要求：依据考核结果，评定</w:t>
      </w:r>
      <w:r>
        <w:rPr>
          <w:rFonts w:ascii="仿宋_GB2312" w:eastAsia="仿宋_GB2312" w:hAnsi="Arial Narrow" w:cs="宋体" w:hint="eastAsia"/>
          <w:snapToGrid w:val="0"/>
          <w:kern w:val="0"/>
          <w:sz w:val="32"/>
          <w:szCs w:val="32"/>
        </w:rPr>
        <w:t>“优秀”“良好”“合格”“不合格”“差”五个等级。考核得分95分（含）以上，评定为“优秀”；95分以下，90分（含）以上，评定为“良好”；90分以下，85分（含）以上，评定为“合格”；85分以下，80分（含）以上，评定为“不合格”；80分以下，评定为“差”。被评定为“优秀”的党支部对书记和支部委员各奖励300元；被评定为“良好”的党支部对书记和支部委员各奖励200元；评定为“合格”的党支部对书记和支部委员不奖不罚；被评定为“不合格”的党支部对书记和支部委员各收购200元；被评定为“差”的党支部对书记和支部委员各收购300元。</w:t>
      </w:r>
    </w:p>
    <w:p w:rsidR="00B416EC" w:rsidRDefault="00B416EC" w:rsidP="00B416EC">
      <w:pPr>
        <w:spacing w:line="60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现对17个党支部根据检查结果进行考核兑现奖励。被评定为“良好”的党支部有5个，分别为综采工区党支部、充采工区党支部、通防区党支部、机电工区党支部、机厂党支部；</w:t>
      </w:r>
      <w:r>
        <w:rPr>
          <w:rFonts w:ascii="仿宋_GB2312" w:eastAsia="仿宋_GB2312" w:hAnsi="Arial Narrow" w:cs="宋体" w:hint="eastAsia"/>
          <w:snapToGrid w:val="0"/>
          <w:kern w:val="0"/>
          <w:sz w:val="32"/>
          <w:szCs w:val="32"/>
        </w:rPr>
        <w:t>评定为“合格”的党支部</w:t>
      </w:r>
      <w:r>
        <w:rPr>
          <w:rFonts w:ascii="仿宋_GB2312" w:eastAsia="仿宋_GB2312" w:hAnsi="仿宋_GB2312" w:cs="仿宋_GB2312" w:hint="eastAsia"/>
          <w:sz w:val="32"/>
          <w:szCs w:val="32"/>
        </w:rPr>
        <w:t>有10个，分别是准备工区党支部、综掘区党支部、普掘一队党支部、运搬工区党支部、督察大队党支部、煤炭运销公司党支部、装备运营公司党支部、后勤服务公</w:t>
      </w:r>
      <w:r>
        <w:rPr>
          <w:rFonts w:ascii="仿宋_GB2312" w:eastAsia="仿宋_GB2312" w:hAnsi="仿宋_GB2312" w:cs="仿宋_GB2312" w:hint="eastAsia"/>
          <w:sz w:val="32"/>
          <w:szCs w:val="32"/>
        </w:rPr>
        <w:lastRenderedPageBreak/>
        <w:t>司党支部、机关一党支部、机关二党支部；被评定被评定为“不合格”的党支部有2个，分别为机关三党支部、提升工区党支部。</w:t>
      </w:r>
    </w:p>
    <w:p w:rsidR="00B416EC" w:rsidRDefault="00B416EC" w:rsidP="00B416EC">
      <w:pPr>
        <w:spacing w:line="600" w:lineRule="exact"/>
        <w:ind w:firstLineChars="200" w:firstLine="640"/>
        <w:rPr>
          <w:rFonts w:ascii="黑体" w:eastAsia="黑体" w:hAnsi="黑体" w:cs="黑体"/>
          <w:snapToGrid w:val="0"/>
          <w:color w:val="000000" w:themeColor="text1"/>
          <w:kern w:val="0"/>
          <w:sz w:val="32"/>
          <w:szCs w:val="32"/>
        </w:rPr>
      </w:pPr>
      <w:r>
        <w:rPr>
          <w:rFonts w:ascii="黑体" w:eastAsia="黑体" w:hAnsi="黑体" w:cs="黑体" w:hint="eastAsia"/>
          <w:snapToGrid w:val="0"/>
          <w:color w:val="000000" w:themeColor="text1"/>
          <w:kern w:val="0"/>
          <w:sz w:val="32"/>
          <w:szCs w:val="32"/>
        </w:rPr>
        <w:t>四、几点要求</w:t>
      </w:r>
    </w:p>
    <w:p w:rsidR="00B416EC" w:rsidRDefault="00B416EC" w:rsidP="00B416EC">
      <w:pPr>
        <w:spacing w:line="600" w:lineRule="exact"/>
        <w:ind w:firstLineChars="200" w:firstLine="640"/>
        <w:rPr>
          <w:rFonts w:ascii="仿宋_GB2312" w:eastAsia="仿宋_GB2312"/>
          <w:sz w:val="32"/>
          <w:szCs w:val="32"/>
        </w:rPr>
      </w:pPr>
      <w:r>
        <w:rPr>
          <w:rFonts w:ascii="仿宋_GB2312" w:eastAsia="仿宋_GB2312"/>
          <w:sz w:val="32"/>
          <w:szCs w:val="32"/>
        </w:rPr>
        <w:t>各党支部</w:t>
      </w:r>
      <w:r>
        <w:rPr>
          <w:rFonts w:ascii="仿宋_GB2312" w:eastAsia="仿宋_GB2312" w:hint="eastAsia"/>
          <w:sz w:val="32"/>
          <w:szCs w:val="32"/>
        </w:rPr>
        <w:t>党建工作</w:t>
      </w:r>
      <w:r>
        <w:rPr>
          <w:rFonts w:ascii="仿宋_GB2312" w:eastAsia="仿宋_GB2312"/>
          <w:sz w:val="32"/>
          <w:szCs w:val="32"/>
        </w:rPr>
        <w:t>要展现百舸争流的气势，时不我待的精神，掀起学习标杆、追赶标杆、超越标杆的热潮，这是形势所需，也是大势所趋。希望各党支部要认清面临的目标任务，扎扎实实做工作，认认真真做实事，争取党建整体工作再上一个新台阶。</w:t>
      </w:r>
    </w:p>
    <w:p w:rsidR="00B416EC" w:rsidRDefault="00B416EC" w:rsidP="00B416EC">
      <w:pPr>
        <w:spacing w:line="600" w:lineRule="exact"/>
        <w:ind w:firstLineChars="200" w:firstLine="640"/>
        <w:rPr>
          <w:rFonts w:ascii="仿宋_GB2312" w:eastAsia="仿宋_GB2312"/>
          <w:sz w:val="32"/>
          <w:szCs w:val="32"/>
        </w:rPr>
      </w:pPr>
      <w:r>
        <w:rPr>
          <w:rFonts w:ascii="仿宋_GB2312" w:eastAsia="仿宋_GB2312" w:hint="eastAsia"/>
          <w:sz w:val="32"/>
          <w:szCs w:val="32"/>
        </w:rPr>
        <w:t>1.要防松防骄防满。被评定为“良好”的党支部工作要保持谦虚奋进的工作态度，继续在方方面面再下苦功夫，在条条项项再出好实绩。防松要在态度上求端正，谨慎以待，虚心、及时吸收其他支部的长处，不断实现资料整理工作的新进步；防骄要破除其他支部不如自己的傲慢心态，丢掉沾沾自喜的行为，扑下身子，踏踏实实寻差找短，弥不足补弱点；防满要舍弃做得不错的想法，消除自我满足不思进取的状态，提升新境界，树立新目标，向着再造辉煌的前方不断进发，争取取得更好成绩。</w:t>
      </w:r>
    </w:p>
    <w:p w:rsidR="00B416EC" w:rsidRPr="00F032AA" w:rsidRDefault="00B416EC" w:rsidP="00B416EC">
      <w:pPr>
        <w:spacing w:line="600" w:lineRule="exact"/>
        <w:ind w:firstLineChars="200" w:firstLine="640"/>
        <w:rPr>
          <w:rFonts w:ascii="仿宋_GB2312" w:eastAsia="仿宋_GB2312"/>
          <w:sz w:val="32"/>
          <w:szCs w:val="32"/>
        </w:rPr>
      </w:pPr>
      <w:r>
        <w:rPr>
          <w:rFonts w:ascii="仿宋_GB2312" w:eastAsia="仿宋_GB2312" w:hint="eastAsia"/>
          <w:sz w:val="32"/>
          <w:szCs w:val="32"/>
        </w:rPr>
        <w:t>2.要真比真学真赶。要对照先进党支部的工作，支委一班人要坐下来认认真真做好检讨，看看党群各口的资料到底差在哪里，分析出原因，制定好措施，坚决抓落实；要虚心对待学习，把先进党支部在资料整理方面的好做法、好经验借鉴过来，</w:t>
      </w:r>
      <w:r>
        <w:rPr>
          <w:rFonts w:ascii="仿宋_GB2312" w:eastAsia="仿宋_GB2312" w:hint="eastAsia"/>
          <w:sz w:val="32"/>
          <w:szCs w:val="32"/>
        </w:rPr>
        <w:lastRenderedPageBreak/>
        <w:t>消化吸收，找准薄弱口，选准着力点，一项一项抓突破，积极做好向标杆看齐的工作；整理资料要开动脑筋，集中智慧，实施精细化、系统化、标准化规范，确保资料既要完整无缺，又要简明扼要，做精做简，全力追赶，争取短期内超越标杆。</w:t>
      </w:r>
    </w:p>
    <w:p w:rsidR="00B416EC" w:rsidRDefault="00B416EC" w:rsidP="00B416EC">
      <w:pPr>
        <w:spacing w:line="600" w:lineRule="exact"/>
        <w:ind w:firstLineChars="200" w:firstLine="640"/>
        <w:rPr>
          <w:rFonts w:ascii="仿宋_GB2312" w:eastAsia="仿宋_GB2312"/>
          <w:sz w:val="32"/>
          <w:szCs w:val="32"/>
        </w:rPr>
      </w:pPr>
      <w:r>
        <w:rPr>
          <w:rFonts w:ascii="仿宋_GB2312" w:eastAsia="仿宋_GB2312" w:hint="eastAsia"/>
          <w:sz w:val="32"/>
          <w:szCs w:val="32"/>
        </w:rPr>
        <w:t>3.要抓细抓实抓全。要在抓好党建资料整理这个关键环节的同时，持续、深入做好党建其他各项工作，保证党建和群众工作全面、规范运行。要抓细，善于用心，精于用功，坚决把工作做细致，保证抓到位、落地稳；要抓实，不浮在上面，啥事要做到心中有数，不当二传手，实实在在做工作，保证项项无遗漏、样样能出色；要抓全，事事关心、处处用心，围绕中心工作争当旗手，敢做第一，把各项工作做到最好。</w:t>
      </w:r>
    </w:p>
    <w:p w:rsidR="00B416EC" w:rsidRPr="005F4C77" w:rsidRDefault="00B416EC" w:rsidP="00B416EC">
      <w:pPr>
        <w:spacing w:line="600" w:lineRule="exact"/>
        <w:rPr>
          <w:rFonts w:ascii="仿宋_GB2312" w:eastAsia="仿宋_GB2312" w:hAnsi="仿宋_GB2312" w:cs="仿宋_GB2312"/>
          <w:snapToGrid w:val="0"/>
          <w:color w:val="000000" w:themeColor="text1"/>
          <w:kern w:val="0"/>
          <w:sz w:val="32"/>
          <w:szCs w:val="32"/>
        </w:rPr>
      </w:pPr>
    </w:p>
    <w:p w:rsidR="00B416EC" w:rsidRDefault="00B416EC" w:rsidP="00B416EC">
      <w:pPr>
        <w:spacing w:line="600" w:lineRule="exact"/>
        <w:ind w:firstLineChars="100" w:firstLine="320"/>
        <w:rPr>
          <w:color w:val="000000" w:themeColor="text1"/>
        </w:rPr>
      </w:pPr>
      <w:r>
        <w:rPr>
          <w:rFonts w:ascii="仿宋_GB2312" w:eastAsia="仿宋_GB2312" w:hAnsi="仿宋_GB2312" w:cs="仿宋_GB2312" w:hint="eastAsia"/>
          <w:snapToGrid w:val="0"/>
          <w:color w:val="000000" w:themeColor="text1"/>
          <w:kern w:val="0"/>
          <w:sz w:val="32"/>
          <w:szCs w:val="32"/>
        </w:rPr>
        <w:t>附件：</w:t>
      </w:r>
      <w:r>
        <w:rPr>
          <w:rFonts w:ascii="仿宋_GB2312" w:eastAsia="仿宋_GB2312" w:hAnsi="仿宋_GB2312" w:cs="仿宋_GB2312" w:hint="eastAsia"/>
          <w:snapToGrid w:val="0"/>
          <w:color w:val="000000" w:themeColor="text1"/>
          <w:spacing w:val="-17"/>
          <w:kern w:val="0"/>
          <w:sz w:val="32"/>
          <w:szCs w:val="32"/>
        </w:rPr>
        <w:t>邵寨煤业公司八月份党建思想政治工作考核兑现汇总表</w:t>
      </w:r>
    </w:p>
    <w:p w:rsidR="00B416EC" w:rsidRDefault="00B416EC" w:rsidP="00B416EC">
      <w:pPr>
        <w:pStyle w:val="a0"/>
        <w:spacing w:line="600" w:lineRule="exact"/>
        <w:ind w:firstLine="320"/>
      </w:pPr>
    </w:p>
    <w:p w:rsidR="00B416EC" w:rsidRDefault="00B416EC" w:rsidP="00B416EC">
      <w:pPr>
        <w:pStyle w:val="a4"/>
        <w:spacing w:line="600" w:lineRule="exact"/>
      </w:pPr>
    </w:p>
    <w:p w:rsidR="00B416EC" w:rsidRDefault="00B416EC" w:rsidP="00B416EC">
      <w:pPr>
        <w:spacing w:line="60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中共华能灵台邵寨煤业有限责任公司委员会</w:t>
      </w:r>
    </w:p>
    <w:p w:rsidR="00847090" w:rsidRPr="00B416EC" w:rsidRDefault="00B416EC" w:rsidP="00471229">
      <w:pPr>
        <w:spacing w:line="600" w:lineRule="exact"/>
        <w:ind w:right="640" w:firstLineChars="1600" w:firstLine="51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2021年9月</w:t>
      </w:r>
      <w:r w:rsidR="00D46DAA">
        <w:rPr>
          <w:rFonts w:ascii="仿宋_GB2312" w:eastAsia="仿宋_GB2312" w:hAnsi="仿宋_GB2312" w:cs="仿宋_GB2312"/>
          <w:color w:val="000000" w:themeColor="text1"/>
          <w:sz w:val="32"/>
          <w:szCs w:val="32"/>
        </w:rPr>
        <w:t>9</w:t>
      </w:r>
      <w:r>
        <w:rPr>
          <w:rFonts w:ascii="仿宋_GB2312" w:eastAsia="仿宋_GB2312" w:hAnsi="仿宋_GB2312" w:cs="仿宋_GB2312" w:hint="eastAsia"/>
          <w:color w:val="000000" w:themeColor="text1"/>
          <w:sz w:val="32"/>
          <w:szCs w:val="32"/>
        </w:rPr>
        <w:t>日</w:t>
      </w:r>
    </w:p>
    <w:p w:rsidR="00847090" w:rsidRDefault="00471229">
      <w:pPr>
        <w:widowControl/>
        <w:shd w:val="clear" w:color="auto" w:fill="FFFFFF"/>
        <w:spacing w:line="600" w:lineRule="exac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w:t>
      </w:r>
      <w:r>
        <w:rPr>
          <w:rFonts w:ascii="仿宋_GB2312" w:eastAsia="仿宋_GB2312" w:hAnsi="Calibri" w:cs="宋体"/>
          <w:kern w:val="0"/>
          <w:sz w:val="32"/>
          <w:szCs w:val="32"/>
        </w:rPr>
        <w:t xml:space="preserve"> </w:t>
      </w:r>
      <w:bookmarkStart w:id="0" w:name="_GoBack"/>
      <w:bookmarkEnd w:id="0"/>
    </w:p>
    <w:p w:rsidR="00847090" w:rsidRDefault="00847090">
      <w:pPr>
        <w:widowControl/>
        <w:shd w:val="clear" w:color="auto" w:fill="FFFFFF"/>
        <w:spacing w:line="600" w:lineRule="exact"/>
        <w:rPr>
          <w:rFonts w:ascii="仿宋_GB2312" w:eastAsia="仿宋_GB2312" w:hAnsi="Calibri" w:cs="宋体"/>
          <w:kern w:val="0"/>
          <w:sz w:val="32"/>
          <w:szCs w:val="32"/>
        </w:rPr>
      </w:pPr>
    </w:p>
    <w:p w:rsidR="00847090" w:rsidRDefault="00847090">
      <w:pPr>
        <w:widowControl/>
        <w:shd w:val="clear" w:color="auto" w:fill="FFFFFF"/>
        <w:spacing w:line="600" w:lineRule="exact"/>
        <w:rPr>
          <w:rFonts w:ascii="仿宋_GB2312" w:eastAsia="仿宋_GB2312" w:hAnsi="Calibri" w:cs="宋体"/>
          <w:kern w:val="0"/>
          <w:sz w:val="32"/>
          <w:szCs w:val="32"/>
        </w:rPr>
      </w:pPr>
    </w:p>
    <w:p w:rsidR="00847090" w:rsidRDefault="00CF7FE6">
      <w:pPr>
        <w:spacing w:line="640" w:lineRule="exact"/>
        <w:jc w:val="left"/>
        <w:rPr>
          <w:rFonts w:ascii="仿宋_GB2312" w:eastAsia="仿宋_GB2312"/>
          <w:color w:val="000000"/>
          <w:sz w:val="32"/>
          <w:szCs w:val="32"/>
        </w:rPr>
      </w:pPr>
      <w:r>
        <w:rPr>
          <w:rFonts w:ascii="仿宋_GB2312" w:eastAsia="仿宋_GB2312"/>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375285</wp:posOffset>
                </wp:positionV>
                <wp:extent cx="556260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5562600"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type w14:anchorId="67DA4F8F" id="_x0000_t32" coordsize="21600,21600" o:spt="32" o:oned="t" path="m,l21600,21600e" filled="f">
                <v:path arrowok="t" fillok="f" o:connecttype="none"/>
                <o:lock v:ext="edit" shapetype="t"/>
              </v:shapetype>
              <v:shape id="直接箭头连接符 7" o:spid="_x0000_s1026" type="#_x0000_t32" style="position:absolute;left:0;text-align:left;margin-left:.1pt;margin-top:29.55pt;width:43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HP7AEAAK0DAAAOAAAAZHJzL2Uyb0RvYy54bWysU0uOEzEQ3SNxB8t70kmkSVArnVkkDBsE&#10;kYADVGx3tyX/5DLp5BJcAIkVsAJWs+c0MByDspMJA2wQohfu8qde1Xt+XlzurWE7FVF71/DJaMyZ&#10;csJL7bqGv3xx9eAhZ5jASTDeqYYfFPLL5f17iyHUaup7b6SKjEAc1kNoeJ9SqKsKRa8s4MgH5Wiz&#10;9dFComnsKhlhIHRrqul4PKsGH2WIXihEWl0fN/my4LetEulZ26JKzDScektljGXc5rFaLqDuIoRe&#10;i1Mb8A9dWNCOip6h1pCAvYr6DyirRfTo2zQS3la+bbVQhQOxmYx/Y/O8h6AKFxIHw1km/H+w4ulu&#10;E5mWDZ9z5sDSFd28uf72+v3N509f311///I2xx8/sHmWaghYU8bKbeJphmETM+99G23+EyO2L/Ie&#10;zvKqfWKCFi8uZtPZmG5B3O5VPxNDxPRYecty0HBMEXTXp5V3ji7Rx0mRF3ZPMFFpSrxNyFWNYwO5&#10;bzov6EA+ag0kKmQDMUPXlWT0RssrbUxOwdhtVyayHWRnlC8zJOBfjuUqa8D+eK5sHT3TK5CPnGTp&#10;EEgzR+bmuQerJGdG0VvIEQFCnUCbvzlJpY3LCar49kQ0S34UOUdbLw9F+yrPyBOl45N/s+nuzim+&#10;+8qWPwAAAP//AwBQSwMEFAAGAAgAAAAhACN/uVPXAAAABgEAAA8AAABkcnMvZG93bnJldi54bWxM&#10;js1OwzAQhO9IvIO1SNyo04qkaRqnAiTOFSkXbk68jSPidRS7TXh7FnGA4/xo5isPixvEFafQe1Kw&#10;XiUgkFpveuoUvJ9eH3IQIWoyevCECr4wwKG6vSl1YfxMb3itYyd4hEKhFdgYx0LK0Fp0Oqz8iMTZ&#10;2U9OR5ZTJ82kZx53g9wkSSad7okfrB7xxWL7WV+cgu2j+fA6e06bdD6eIp5tnR8Xpe7vlqc9iIhL&#10;/CvDDz6jQ8VMjb+QCWJQsOGegnS3BsFpvs3YaH4NWZXyP371DQAA//8DAFBLAQItABQABgAIAAAA&#10;IQC2gziS/gAAAOEBAAATAAAAAAAAAAAAAAAAAAAAAABbQ29udGVudF9UeXBlc10ueG1sUEsBAi0A&#10;FAAGAAgAAAAhADj9If/WAAAAlAEAAAsAAAAAAAAAAAAAAAAALwEAAF9yZWxzLy5yZWxzUEsBAi0A&#10;FAAGAAgAAAAhAGWlwc/sAQAArQMAAA4AAAAAAAAAAAAAAAAALgIAAGRycy9lMm9Eb2MueG1sUEsB&#10;Ai0AFAAGAAgAAAAhACN/uVPXAAAABgEAAA8AAAAAAAAAAAAAAAAARgQAAGRycy9kb3ducmV2Lnht&#10;bFBLBQYAAAAABAAEAPMAAABKBQAAAAA=&#10;" strokeweight="1pt"/>
            </w:pict>
          </mc:Fallback>
        </mc:AlternateContent>
      </w:r>
    </w:p>
    <w:p w:rsidR="00847090" w:rsidRDefault="00CF7FE6">
      <w:pPr>
        <w:spacing w:line="640" w:lineRule="exact"/>
      </w:pPr>
      <w:r>
        <w:rPr>
          <w:rFonts w:ascii="仿宋_GB2312" w:eastAsia="仿宋_GB2312"/>
          <w:noProof/>
          <w:color w:val="000000"/>
          <w:spacing w:val="-10"/>
          <w:sz w:val="32"/>
          <w:szCs w:val="3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436880</wp:posOffset>
                </wp:positionV>
                <wp:extent cx="556260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5562600"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w14:anchorId="2E591B15" id="直接箭头连接符 8" o:spid="_x0000_s1026" type="#_x0000_t32" style="position:absolute;left:0;text-align:left;margin-left:1.05pt;margin-top:34.4pt;width:43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8M7AEAAK0DAAAOAAAAZHJzL2Uyb0RvYy54bWysU0uOEzEQ3SNxB8t70kmkCaNWOrNIGDYI&#10;IgEHqNjubkv+yWXSySW4ABIrYAWsZs9pYDgGZScTZpgNQvTCXf7Uq3rPz/OLnTVsqyJq7xo+GY05&#10;U054qV3X8NevLh+dc4YJnATjnWr4XiG/WDx8MB9Craa+90aqyAjEYT2EhvcphbqqUPTKAo58UI42&#10;Wx8tJJrGrpIRBkK3ppqOx7Nq8FGG6IVCpNXVYZMvCn7bKpFetC2qxEzDqbdUxljGTR6rxRzqLkLo&#10;tTi2Af/QhQXtqOgJagUJ2Juo70FZLaJH36aR8LbybauFKhyIzWT8B5uXPQRVuJA4GE4y4f+DFc+3&#10;68i0bDhdlANLV3T97urH24/XX798/3D189v7HH/+xM6zVEPAmjKWbh2PMwzrmHnv2mjznxixXZF3&#10;f5JX7RITtHh2NpvOxnQL4mav+p0YIqanyluWg4ZjiqC7Pi29c3SJPk6KvLB9holKU+JNQq5qHBvI&#10;fdPHBR3IR62BRIVsIGboupKM3mh5qY3JKRi7zdJEtoXsjPJlhgR851iusgLsD+fK1sEzvQL5xEmW&#10;9oE0c2RunnuwSnJmFL2FHBEg1Am0+ZuTVNq4nKCKb49Es+QHkXO08XJftK/yjDxROj76N5vu9pzi&#10;269s8QsAAP//AwBQSwMEFAAGAAgAAAAhAAIErGDYAAAABwEAAA8AAABkcnMvZG93bnJldi54bWxM&#10;j8FOwzAQRO9I/IO1SNyo04qmVohTARLnirQXbpt4G0fEdhS7Tfh7FnGA486MZt+U+8UN4kpT7IPX&#10;sF5lIMi3wfS+03A6vj0oEDGhNzgETxq+KMK+ur0psTBh9u90rVMnuMTHAjXYlMZCythachhXYSTP&#10;3jlMDhOfUyfNhDOXu0FusiyXDnvPHyyO9Gqp/awvTsPu0XwEzF+2zXY+HBOdba0Oi9b3d8vzE4hE&#10;S/oLww8+o0PFTE24eBPFoGGz5qCGXPEAttVOsdD8CrIq5X/+6hsAAP//AwBQSwECLQAUAAYACAAA&#10;ACEAtoM4kv4AAADhAQAAEwAAAAAAAAAAAAAAAAAAAAAAW0NvbnRlbnRfVHlwZXNdLnhtbFBLAQIt&#10;ABQABgAIAAAAIQA4/SH/1gAAAJQBAAALAAAAAAAAAAAAAAAAAC8BAABfcmVscy8ucmVsc1BLAQIt&#10;ABQABgAIAAAAIQBIwW8M7AEAAK0DAAAOAAAAAAAAAAAAAAAAAC4CAABkcnMvZTJvRG9jLnhtbFBL&#10;AQItABQABgAIAAAAIQACBKxg2AAAAAcBAAAPAAAAAAAAAAAAAAAAAEYEAABkcnMvZG93bnJldi54&#10;bWxQSwUGAAAAAAQABADzAAAASwUAAAAA&#10;" strokeweight="1pt"/>
            </w:pict>
          </mc:Fallback>
        </mc:AlternateContent>
      </w:r>
      <w:r>
        <w:rPr>
          <w:rFonts w:ascii="仿宋_GB2312" w:eastAsia="仿宋_GB2312" w:hint="eastAsia"/>
          <w:color w:val="000000"/>
          <w:spacing w:val="-10"/>
          <w:sz w:val="32"/>
          <w:szCs w:val="32"/>
        </w:rPr>
        <w:t xml:space="preserve">邵寨煤业公司党群工作部                </w:t>
      </w:r>
      <w:r>
        <w:rPr>
          <w:rFonts w:ascii="仿宋_GB2312" w:eastAsia="仿宋_GB2312" w:hint="eastAsia"/>
          <w:color w:val="000000"/>
          <w:spacing w:val="-10"/>
          <w:sz w:val="32"/>
          <w:szCs w:val="32"/>
        </w:rPr>
        <w:fldChar w:fldCharType="begin"/>
      </w:r>
      <w:r>
        <w:rPr>
          <w:rFonts w:ascii="仿宋_GB2312" w:eastAsia="仿宋_GB2312" w:hint="eastAsia"/>
          <w:color w:val="000000"/>
          <w:spacing w:val="-10"/>
          <w:sz w:val="32"/>
          <w:szCs w:val="32"/>
        </w:rPr>
        <w:instrText xml:space="preserve"> DOCPROPERTY  发文日期  \* MERGEFORMAT </w:instrText>
      </w:r>
      <w:r>
        <w:rPr>
          <w:rFonts w:ascii="仿宋_GB2312" w:eastAsia="仿宋_GB2312" w:hint="eastAsia"/>
          <w:color w:val="000000"/>
          <w:spacing w:val="-10"/>
          <w:sz w:val="32"/>
          <w:szCs w:val="32"/>
        </w:rPr>
        <w:fldChar w:fldCharType="separate"/>
      </w:r>
      <w:r>
        <w:rPr>
          <w:rFonts w:ascii="仿宋_GB2312" w:eastAsia="仿宋_GB2312" w:hint="eastAsia"/>
          <w:color w:val="000000"/>
          <w:spacing w:val="-10"/>
          <w:sz w:val="32"/>
          <w:szCs w:val="32"/>
        </w:rPr>
        <w:t>2021年</w:t>
      </w:r>
      <w:r w:rsidR="00D46DAA">
        <w:rPr>
          <w:rFonts w:ascii="仿宋_GB2312" w:eastAsia="仿宋_GB2312"/>
          <w:color w:val="000000"/>
          <w:spacing w:val="-10"/>
          <w:sz w:val="32"/>
          <w:szCs w:val="32"/>
        </w:rPr>
        <w:t>9</w:t>
      </w:r>
      <w:r>
        <w:rPr>
          <w:rFonts w:ascii="仿宋_GB2312" w:eastAsia="仿宋_GB2312" w:hint="eastAsia"/>
          <w:color w:val="000000"/>
          <w:spacing w:val="-10"/>
          <w:sz w:val="32"/>
          <w:szCs w:val="32"/>
        </w:rPr>
        <w:t>月</w:t>
      </w:r>
      <w:r w:rsidR="00D46DAA">
        <w:rPr>
          <w:rFonts w:ascii="仿宋_GB2312" w:eastAsia="仿宋_GB2312"/>
          <w:color w:val="000000"/>
          <w:spacing w:val="-10"/>
          <w:sz w:val="32"/>
          <w:szCs w:val="32"/>
        </w:rPr>
        <w:t>9</w:t>
      </w:r>
      <w:r>
        <w:rPr>
          <w:rFonts w:ascii="仿宋_GB2312" w:eastAsia="仿宋_GB2312" w:hint="eastAsia"/>
          <w:color w:val="000000"/>
          <w:spacing w:val="-10"/>
          <w:sz w:val="32"/>
          <w:szCs w:val="32"/>
        </w:rPr>
        <w:t>日</w:t>
      </w:r>
      <w:r>
        <w:rPr>
          <w:rFonts w:ascii="仿宋_GB2312" w:eastAsia="仿宋_GB2312" w:hint="eastAsia"/>
          <w:color w:val="000000"/>
          <w:spacing w:val="-10"/>
          <w:sz w:val="32"/>
          <w:szCs w:val="32"/>
        </w:rPr>
        <w:fldChar w:fldCharType="end"/>
      </w:r>
      <w:r>
        <w:rPr>
          <w:rFonts w:ascii="仿宋_GB2312" w:eastAsia="仿宋_GB2312" w:hint="eastAsia"/>
          <w:color w:val="000000"/>
          <w:spacing w:val="-10"/>
          <w:sz w:val="32"/>
          <w:szCs w:val="32"/>
        </w:rPr>
        <w:t xml:space="preserve">印发          </w:t>
      </w:r>
    </w:p>
    <w:sectPr w:rsidR="00847090">
      <w:footerReference w:type="even" r:id="rId7"/>
      <w:footerReference w:type="default" r:id="rId8"/>
      <w:pgSz w:w="11906" w:h="16838"/>
      <w:pgMar w:top="1814" w:right="1587" w:bottom="1587"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62" w:rsidRDefault="00B86E62">
      <w:r>
        <w:separator/>
      </w:r>
    </w:p>
  </w:endnote>
  <w:endnote w:type="continuationSeparator" w:id="0">
    <w:p w:rsidR="00B86E62" w:rsidRDefault="00B8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90" w:rsidRDefault="00CF7FE6">
    <w:pPr>
      <w:pStyle w:val="a7"/>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4 -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90" w:rsidRDefault="00CF7FE6">
    <w:pPr>
      <w:pStyle w:val="a7"/>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7090" w:rsidRDefault="00CF7FE6">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71229">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7090" w:rsidRDefault="00CF7FE6">
                    <w:pPr>
                      <w:pStyle w:val="a7"/>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71229">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62" w:rsidRDefault="00B86E62">
      <w:r>
        <w:separator/>
      </w:r>
    </w:p>
  </w:footnote>
  <w:footnote w:type="continuationSeparator" w:id="0">
    <w:p w:rsidR="00B86E62" w:rsidRDefault="00B8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0"/>
    <w:rsid w:val="003A6E4E"/>
    <w:rsid w:val="00471229"/>
    <w:rsid w:val="00847090"/>
    <w:rsid w:val="00B416EC"/>
    <w:rsid w:val="00B86E62"/>
    <w:rsid w:val="00CF7FE6"/>
    <w:rsid w:val="00D46DAA"/>
    <w:rsid w:val="083C4154"/>
    <w:rsid w:val="232C006F"/>
    <w:rsid w:val="36D337B3"/>
    <w:rsid w:val="3BF958FA"/>
    <w:rsid w:val="48483074"/>
    <w:rsid w:val="4B445526"/>
    <w:rsid w:val="52167F0E"/>
    <w:rsid w:val="5F680273"/>
    <w:rsid w:val="60100161"/>
    <w:rsid w:val="6A12726E"/>
    <w:rsid w:val="706A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9A4CB3"/>
  <w15:docId w15:val="{2A773693-92B2-4063-8879-7A44809C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
      <w:kern w:val="2"/>
      <w:sz w:val="28"/>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widowControl/>
      <w:snapToGrid w:val="0"/>
      <w:spacing w:line="360" w:lineRule="auto"/>
      <w:jc w:val="left"/>
    </w:pPr>
    <w:rPr>
      <w:rFonts w:eastAsia="仿宋_GB2312"/>
      <w:kern w:val="0"/>
      <w:sz w:val="32"/>
    </w:rPr>
  </w:style>
  <w:style w:type="paragraph" w:customStyle="1" w:styleId="a4">
    <w:name w:val="正文部分"/>
    <w:basedOn w:val="a"/>
    <w:uiPriority w:val="99"/>
    <w:qFormat/>
    <w:pPr>
      <w:adjustRightInd w:val="0"/>
      <w:snapToGrid w:val="0"/>
      <w:spacing w:line="460" w:lineRule="exact"/>
      <w:textAlignment w:val="baseline"/>
    </w:pPr>
    <w:rPr>
      <w:rFonts w:ascii="宋体" w:hAnsi="宋体"/>
      <w:kern w:val="0"/>
      <w:sz w:val="30"/>
      <w:szCs w:val="20"/>
    </w:rPr>
  </w:style>
  <w:style w:type="paragraph" w:styleId="a5">
    <w:name w:val="Date"/>
    <w:basedOn w:val="a"/>
    <w:next w:val="a"/>
    <w:link w:val="a6"/>
    <w:qFormat/>
    <w:pPr>
      <w:ind w:leftChars="2500" w:left="100"/>
    </w:pPr>
  </w:style>
  <w:style w:type="paragraph" w:styleId="a7">
    <w:name w:val="footer"/>
    <w:basedOn w:val="a"/>
    <w:next w:val="a8"/>
    <w:link w:val="a9"/>
    <w:uiPriority w:val="99"/>
    <w:qFormat/>
    <w:pPr>
      <w:tabs>
        <w:tab w:val="center" w:pos="4153"/>
        <w:tab w:val="right" w:pos="8306"/>
      </w:tabs>
      <w:snapToGrid w:val="0"/>
      <w:jc w:val="left"/>
    </w:pPr>
    <w:rPr>
      <w:sz w:val="18"/>
      <w:szCs w:val="18"/>
    </w:rPr>
  </w:style>
  <w:style w:type="paragraph" w:styleId="a8">
    <w:name w:val="Body Text First Indent"/>
    <w:basedOn w:val="a0"/>
    <w:qFormat/>
    <w:pPr>
      <w:ind w:firstLineChars="100" w:firstLine="420"/>
    </w:p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qFormat/>
    <w:pPr>
      <w:spacing w:before="240" w:after="60" w:line="312" w:lineRule="auto"/>
      <w:jc w:val="center"/>
      <w:outlineLvl w:val="1"/>
    </w:pPr>
    <w:rPr>
      <w:rFonts w:ascii="Cambria" w:eastAsia="宋体" w:hAnsi="Cambria"/>
      <w:b/>
      <w:bCs/>
      <w:kern w:val="28"/>
      <w:sz w:val="32"/>
      <w:szCs w:val="32"/>
    </w:rPr>
  </w:style>
  <w:style w:type="paragraph" w:styleId="ad">
    <w:name w:val="Title"/>
    <w:basedOn w:val="a"/>
    <w:next w:val="a"/>
    <w:link w:val="ae"/>
    <w:qFormat/>
    <w:pPr>
      <w:spacing w:before="240" w:after="60"/>
      <w:jc w:val="center"/>
      <w:outlineLvl w:val="0"/>
    </w:pPr>
    <w:rPr>
      <w:rFonts w:ascii="Cambria" w:eastAsia="宋体" w:hAnsi="Cambria"/>
      <w:b/>
      <w:bCs/>
      <w:sz w:val="32"/>
      <w:szCs w:val="32"/>
    </w:rPr>
  </w:style>
  <w:style w:type="table" w:styleId="af">
    <w:name w:val="Table Grid"/>
    <w:basedOn w:val="a2"/>
    <w:uiPriority w:val="99"/>
    <w:unhideWhenUsed/>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rFonts w:ascii="Times New Roman" w:eastAsia="宋体" w:hAnsi="Times New Roman" w:cs="Times New Roman"/>
      <w:b/>
      <w:bCs/>
      <w:lang w:val="en-US" w:eastAsia="zh-CN" w:bidi="ar-SA"/>
    </w:rPr>
  </w:style>
  <w:style w:type="character" w:styleId="af1">
    <w:name w:val="page number"/>
    <w:basedOn w:val="a1"/>
    <w:qFormat/>
    <w:rPr>
      <w:rFonts w:ascii="Times New Roman" w:eastAsia="宋体" w:hAnsi="Times New Roman" w:cs="Times New Roman"/>
      <w:lang w:val="en-US" w:eastAsia="zh-CN" w:bidi="ar-SA"/>
    </w:rPr>
  </w:style>
  <w:style w:type="character" w:styleId="af2">
    <w:name w:val="Emphasis"/>
    <w:qFormat/>
    <w:rPr>
      <w:rFonts w:ascii="Times New Roman" w:eastAsia="宋体" w:hAnsi="Times New Roman" w:cs="Times New Roman"/>
      <w:i/>
      <w:iCs/>
      <w:lang w:val="en-US" w:eastAsia="zh-CN" w:bidi="ar-SA"/>
    </w:rPr>
  </w:style>
  <w:style w:type="character" w:customStyle="1" w:styleId="ae">
    <w:name w:val="标题 字符"/>
    <w:link w:val="ad"/>
    <w:qFormat/>
    <w:rPr>
      <w:rFonts w:ascii="Cambria" w:eastAsia="宋体" w:hAnsi="Cambria" w:cs="Times New Roman"/>
      <w:b/>
      <w:bCs/>
      <w:sz w:val="32"/>
      <w:szCs w:val="32"/>
      <w:lang w:val="en-US" w:eastAsia="zh-CN" w:bidi="ar-SA"/>
    </w:rPr>
  </w:style>
  <w:style w:type="character" w:customStyle="1" w:styleId="10">
    <w:name w:val="标题 1 字符"/>
    <w:link w:val="1"/>
    <w:qFormat/>
    <w:rPr>
      <w:rFonts w:ascii="Times New Roman" w:eastAsia="宋体" w:hAnsi="Times New Roman" w:cs="Times New Roman"/>
      <w:b/>
      <w:bCs/>
      <w:kern w:val="44"/>
      <w:sz w:val="44"/>
      <w:szCs w:val="44"/>
      <w:lang w:val="en-US" w:eastAsia="zh-CN" w:bidi="ar-SA"/>
    </w:rPr>
  </w:style>
  <w:style w:type="character" w:customStyle="1" w:styleId="ac">
    <w:name w:val="副标题 字符"/>
    <w:link w:val="ab"/>
    <w:qFormat/>
    <w:rPr>
      <w:rFonts w:ascii="Cambria" w:eastAsia="宋体" w:hAnsi="Cambria" w:cs="Times New Roman"/>
      <w:b/>
      <w:bCs/>
      <w:kern w:val="28"/>
      <w:sz w:val="32"/>
      <w:szCs w:val="32"/>
      <w:lang w:val="en-US" w:eastAsia="zh-CN" w:bidi="ar-SA"/>
    </w:rPr>
  </w:style>
  <w:style w:type="paragraph" w:styleId="af3">
    <w:name w:val="No Spacing"/>
    <w:uiPriority w:val="1"/>
    <w:qFormat/>
    <w:pPr>
      <w:widowControl w:val="0"/>
      <w:jc w:val="both"/>
    </w:pPr>
    <w:rPr>
      <w:rFonts w:eastAsia="仿宋"/>
      <w:kern w:val="2"/>
      <w:sz w:val="28"/>
      <w:szCs w:val="24"/>
    </w:rPr>
  </w:style>
  <w:style w:type="character" w:customStyle="1" w:styleId="20">
    <w:name w:val="标题 2 字符"/>
    <w:link w:val="2"/>
    <w:semiHidden/>
    <w:qFormat/>
    <w:rPr>
      <w:rFonts w:ascii="Cambria" w:eastAsia="宋体" w:hAnsi="Cambria" w:cs="Times New Roman"/>
      <w:b/>
      <w:bCs/>
      <w:sz w:val="32"/>
      <w:szCs w:val="32"/>
      <w:lang w:val="en-US" w:eastAsia="zh-CN" w:bidi="ar-SA"/>
    </w:rPr>
  </w:style>
  <w:style w:type="character" w:customStyle="1" w:styleId="30">
    <w:name w:val="标题 3 字符"/>
    <w:link w:val="3"/>
    <w:semiHidden/>
    <w:qFormat/>
    <w:rPr>
      <w:rFonts w:ascii="Times New Roman" w:eastAsia="宋体" w:hAnsi="Times New Roman" w:cs="Times New Roman"/>
      <w:b/>
      <w:bCs/>
      <w:sz w:val="32"/>
      <w:szCs w:val="32"/>
      <w:lang w:val="en-US" w:eastAsia="zh-CN" w:bidi="ar-SA"/>
    </w:rPr>
  </w:style>
  <w:style w:type="character" w:customStyle="1" w:styleId="a9">
    <w:name w:val="页脚 字符"/>
    <w:link w:val="a7"/>
    <w:uiPriority w:val="99"/>
    <w:qFormat/>
    <w:rPr>
      <w:rFonts w:ascii="Times New Roman" w:eastAsia="宋体" w:hAnsi="Times New Roman" w:cs="Times New Roman"/>
      <w:sz w:val="18"/>
      <w:szCs w:val="18"/>
      <w:lang w:val="en-US" w:eastAsia="zh-CN" w:bidi="ar-SA"/>
    </w:rPr>
  </w:style>
  <w:style w:type="character" w:customStyle="1" w:styleId="a6">
    <w:name w:val="日期 字符"/>
    <w:link w:val="a5"/>
    <w:qFormat/>
    <w:rPr>
      <w:rFonts w:ascii="Times New Roman" w:eastAsia="宋体" w:hAnsi="Times New Roman" w:cs="Times New Roma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371</Words>
  <Characters>2119</Characters>
  <Application>Microsoft Office Word</Application>
  <DocSecurity>0</DocSecurity>
  <Lines>17</Lines>
  <Paragraphs>4</Paragraphs>
  <ScaleCrop>false</ScaleCrop>
  <Company>Legend (Beijing) Limited</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李红梅</cp:lastModifiedBy>
  <cp:revision>12</cp:revision>
  <dcterms:created xsi:type="dcterms:W3CDTF">2020-02-28T02:10:00Z</dcterms:created>
  <dcterms:modified xsi:type="dcterms:W3CDTF">2021-09-10T01:22:00Z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发文编号">
    <vt:lpwstr>淄矿党字〔2020〕9号</vt:lpwstr>
  </property>
  <property fmtid="{D5CDD505-2E9C-101B-9397-08002B2CF9AE}" pid="4" name="文件标题">
    <vt:lpwstr>关于开展第二十四个“文明月”活动的通知</vt:lpwstr>
  </property>
  <property fmtid="{D5CDD505-2E9C-101B-9397-08002B2CF9AE}" pid="5" name="正文部分">
    <vt:lpwstr>正文部分</vt:lpwstr>
  </property>
  <property fmtid="{D5CDD505-2E9C-101B-9397-08002B2CF9AE}" pid="6" name="份数">
    <vt:lpwstr> </vt:lpwstr>
  </property>
  <property fmtid="{D5CDD505-2E9C-101B-9397-08002B2CF9AE}" pid="7" name="发文日期">
    <vt:lpwstr>2020年2月28日</vt:lpwstr>
  </property>
  <property fmtid="{D5CDD505-2E9C-101B-9397-08002B2CF9AE}" pid="8" name="ICV">
    <vt:lpwstr>F277F1B2DD6B4C2288D7BEED451B187A</vt:lpwstr>
  </property>
</Properties>
</file>